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b/>
          <w:bCs/>
          <w:lang w:val="en-US" w:eastAsia="zh-CN"/>
        </w:rPr>
        <w:t>duid</w:t>
      </w:r>
      <w:r>
        <w:rPr>
          <w:rFonts w:hint="eastAsia"/>
          <w:b/>
          <w:bCs/>
        </w:rPr>
        <w:t>一、项目名称：</w:t>
      </w:r>
      <w:r>
        <w:rPr>
          <w:rFonts w:hint="eastAsia"/>
        </w:rPr>
        <w:t>基于模型-数据混合驱动的故障诊断与信号处理关键技术研究</w:t>
      </w:r>
    </w:p>
    <w:p/>
    <w:p>
      <w:pPr>
        <w:rPr>
          <w:b/>
          <w:bCs/>
        </w:rPr>
      </w:pPr>
      <w:r>
        <w:rPr>
          <w:rFonts w:hint="eastAsia"/>
          <w:b/>
          <w:bCs/>
        </w:rPr>
        <w:t>二、项目简介：</w:t>
      </w:r>
    </w:p>
    <w:p>
      <w:pPr>
        <w:widowControl/>
        <w:ind w:firstLine="420" w:firstLineChars="200"/>
        <w:jc w:val="left"/>
        <w:rPr>
          <w:kern w:val="0"/>
          <w:szCs w:val="21"/>
        </w:rPr>
      </w:pPr>
      <w:r>
        <w:rPr>
          <w:kern w:val="0"/>
          <w:szCs w:val="21"/>
        </w:rPr>
        <w:t>当前国内外</w:t>
      </w:r>
      <w:r>
        <w:rPr>
          <w:rFonts w:hint="eastAsia"/>
          <w:kern w:val="0"/>
          <w:szCs w:val="21"/>
        </w:rPr>
        <w:t>设备</w:t>
      </w:r>
      <w:r>
        <w:rPr>
          <w:kern w:val="0"/>
          <w:szCs w:val="21"/>
        </w:rPr>
        <w:t>用户的日常维修策略通常采用预防性维修保养，即通常根据制造商指示的当量运行小时数来决定是否需要小修、中修、大修。对于</w:t>
      </w:r>
      <w:r>
        <w:rPr>
          <w:rFonts w:hint="eastAsia"/>
          <w:kern w:val="0"/>
          <w:szCs w:val="21"/>
        </w:rPr>
        <w:t>设备</w:t>
      </w:r>
      <w:r>
        <w:rPr>
          <w:kern w:val="0"/>
          <w:szCs w:val="21"/>
        </w:rPr>
        <w:t>的停机检修，无论是计划内的还是计划外的，以及普遍存在的失修和过修情况，总是意味着高昂的运行和维修成本代价。</w:t>
      </w:r>
      <w:r>
        <w:rPr>
          <w:rFonts w:hint="eastAsia"/>
          <w:kern w:val="0"/>
          <w:szCs w:val="21"/>
        </w:rPr>
        <w:t>为避免失修和过修，提高设备的可靠性和可用性，降低运维成本，用户宜采用预知维修策略。</w:t>
      </w:r>
      <w:r>
        <w:rPr>
          <w:kern w:val="0"/>
          <w:szCs w:val="21"/>
        </w:rPr>
        <w:t>利用模式识别和机器学习等基于数据驱动的人工智能技术，需要建立在已有设备故障样本集上，对于样本集中未涉及的故障类型，这些方法难以给出准确的诊断结果。</w:t>
      </w:r>
      <w:r>
        <w:rPr>
          <w:rFonts w:hint="eastAsia"/>
          <w:kern w:val="0"/>
          <w:szCs w:val="21"/>
        </w:rPr>
        <w:t>且</w:t>
      </w:r>
      <w:r>
        <w:rPr>
          <w:kern w:val="0"/>
          <w:szCs w:val="21"/>
        </w:rPr>
        <w:t>对于一种新型或刚投运的</w:t>
      </w:r>
      <w:r>
        <w:rPr>
          <w:rFonts w:hint="eastAsia"/>
          <w:kern w:val="0"/>
          <w:szCs w:val="21"/>
        </w:rPr>
        <w:t>设备</w:t>
      </w:r>
      <w:r>
        <w:rPr>
          <w:kern w:val="0"/>
          <w:szCs w:val="21"/>
        </w:rPr>
        <w:t>，由于缺乏标定的故障数据，难以在短时间内建立能够覆盖所有故障类型的完备故障样本集，且通过</w:t>
      </w:r>
      <w:r>
        <w:rPr>
          <w:rFonts w:hint="eastAsia"/>
          <w:kern w:val="0"/>
          <w:szCs w:val="21"/>
        </w:rPr>
        <w:t>运维</w:t>
      </w:r>
      <w:r>
        <w:rPr>
          <w:kern w:val="0"/>
          <w:szCs w:val="21"/>
        </w:rPr>
        <w:t>经验和监测数据来积累故障模式与故障征兆之间的关系规则库是艰难而费时费力的，</w:t>
      </w:r>
      <w:r>
        <w:rPr>
          <w:rFonts w:hint="eastAsia"/>
          <w:kern w:val="0"/>
          <w:szCs w:val="21"/>
        </w:rPr>
        <w:t>且不易对故障</w:t>
      </w:r>
      <w:r>
        <w:rPr>
          <w:kern w:val="0"/>
          <w:szCs w:val="21"/>
        </w:rPr>
        <w:t>严重程度</w:t>
      </w:r>
      <w:r>
        <w:rPr>
          <w:rFonts w:hint="eastAsia"/>
          <w:kern w:val="0"/>
          <w:szCs w:val="21"/>
        </w:rPr>
        <w:t>作</w:t>
      </w:r>
      <w:r>
        <w:rPr>
          <w:kern w:val="0"/>
          <w:szCs w:val="21"/>
        </w:rPr>
        <w:t>量化</w:t>
      </w:r>
      <w:r>
        <w:rPr>
          <w:rFonts w:hint="eastAsia"/>
          <w:kern w:val="0"/>
          <w:szCs w:val="21"/>
        </w:rPr>
        <w:t>评估</w:t>
      </w:r>
      <w:r>
        <w:rPr>
          <w:kern w:val="0"/>
          <w:szCs w:val="21"/>
        </w:rPr>
        <w:t>，制约了基于数据驱动的人工智能技术的应用。</w:t>
      </w:r>
    </w:p>
    <w:p>
      <w:pPr>
        <w:widowControl/>
        <w:ind w:firstLine="420" w:firstLineChars="200"/>
        <w:jc w:val="left"/>
        <w:rPr>
          <w:kern w:val="0"/>
          <w:szCs w:val="21"/>
        </w:rPr>
      </w:pPr>
      <w:r>
        <w:rPr>
          <w:rFonts w:hint="eastAsia"/>
          <w:kern w:val="0"/>
          <w:szCs w:val="21"/>
        </w:rPr>
        <w:t>本项目</w:t>
      </w:r>
      <w:r>
        <w:rPr>
          <w:kern w:val="0"/>
          <w:szCs w:val="21"/>
        </w:rPr>
        <w:t>属于</w:t>
      </w:r>
      <w:r>
        <w:rPr>
          <w:rFonts w:hint="eastAsia"/>
          <w:kern w:val="0"/>
          <w:szCs w:val="21"/>
        </w:rPr>
        <w:t>故障诊断</w:t>
      </w:r>
      <w:r>
        <w:rPr>
          <w:kern w:val="0"/>
          <w:szCs w:val="21"/>
        </w:rPr>
        <w:t>领域，</w:t>
      </w:r>
      <w:r>
        <w:rPr>
          <w:rFonts w:hint="eastAsia"/>
          <w:kern w:val="0"/>
          <w:szCs w:val="21"/>
        </w:rPr>
        <w:t>重点</w:t>
      </w:r>
      <w:r>
        <w:rPr>
          <w:kern w:val="0"/>
          <w:szCs w:val="21"/>
        </w:rPr>
        <w:t>围绕</w:t>
      </w:r>
      <w:r>
        <w:rPr>
          <w:rFonts w:hint="eastAsia"/>
          <w:kern w:val="0"/>
          <w:szCs w:val="21"/>
        </w:rPr>
        <w:t>复杂强非线性热力系统、</w:t>
      </w:r>
      <w:r>
        <w:rPr>
          <w:kern w:val="0"/>
          <w:szCs w:val="21"/>
        </w:rPr>
        <w:t>动力系统、机械系统</w:t>
      </w:r>
      <w:r>
        <w:rPr>
          <w:rFonts w:hint="eastAsia"/>
          <w:kern w:val="0"/>
          <w:szCs w:val="21"/>
        </w:rPr>
        <w:t>故障诊断与预测的关键</w:t>
      </w:r>
      <w:r>
        <w:rPr>
          <w:kern w:val="0"/>
          <w:szCs w:val="21"/>
        </w:rPr>
        <w:t>技术问题，开展基于模型-数据混合驱动的故障诊断与信号处理</w:t>
      </w:r>
      <w:r>
        <w:rPr>
          <w:rFonts w:hint="eastAsia"/>
          <w:kern w:val="0"/>
          <w:szCs w:val="21"/>
        </w:rPr>
        <w:t>关键技术</w:t>
      </w:r>
      <w:r>
        <w:rPr>
          <w:kern w:val="0"/>
          <w:szCs w:val="21"/>
        </w:rPr>
        <w:t>研究</w:t>
      </w:r>
      <w:r>
        <w:rPr>
          <w:rFonts w:hint="eastAsia"/>
          <w:kern w:val="0"/>
          <w:szCs w:val="21"/>
        </w:rPr>
        <w:t>，</w:t>
      </w:r>
      <w:r>
        <w:rPr>
          <w:kern w:val="0"/>
          <w:szCs w:val="21"/>
        </w:rPr>
        <w:t>主要</w:t>
      </w:r>
      <w:r>
        <w:rPr>
          <w:rFonts w:hint="eastAsia"/>
          <w:kern w:val="0"/>
          <w:szCs w:val="21"/>
        </w:rPr>
        <w:t>创新点</w:t>
      </w:r>
      <w:r>
        <w:rPr>
          <w:kern w:val="0"/>
          <w:szCs w:val="21"/>
        </w:rPr>
        <w:t>有：</w:t>
      </w:r>
    </w:p>
    <w:p>
      <w:pPr>
        <w:widowControl/>
        <w:ind w:firstLine="420" w:firstLineChars="200"/>
        <w:rPr>
          <w:kern w:val="0"/>
          <w:szCs w:val="21"/>
        </w:rPr>
      </w:pPr>
      <w:r>
        <w:rPr>
          <w:rFonts w:hint="eastAsia"/>
          <w:kern w:val="0"/>
          <w:szCs w:val="21"/>
        </w:rPr>
        <w:t>（1）</w:t>
      </w:r>
      <w:r>
        <w:rPr>
          <w:kern w:val="0"/>
          <w:szCs w:val="21"/>
        </w:rPr>
        <w:t>提出了一种基于粒子群优化算法辨识的部件特性线修正方法，使修正后</w:t>
      </w:r>
      <w:r>
        <w:rPr>
          <w:rFonts w:hint="eastAsia"/>
          <w:kern w:val="0"/>
          <w:szCs w:val="21"/>
        </w:rPr>
        <w:t>的</w:t>
      </w:r>
      <w:r>
        <w:rPr>
          <w:kern w:val="0"/>
          <w:szCs w:val="21"/>
        </w:rPr>
        <w:t>模型的部件特性线与实际目标系统的真实部件特性线相匹配，提高了计算精度。</w:t>
      </w:r>
    </w:p>
    <w:p>
      <w:pPr>
        <w:widowControl/>
        <w:ind w:firstLine="420" w:firstLineChars="200"/>
        <w:rPr>
          <w:kern w:val="0"/>
          <w:szCs w:val="21"/>
        </w:rPr>
      </w:pPr>
      <w:r>
        <w:rPr>
          <w:rFonts w:hint="eastAsia"/>
          <w:kern w:val="0"/>
          <w:szCs w:val="21"/>
        </w:rPr>
        <w:t>（2）</w:t>
      </w:r>
      <w:r>
        <w:rPr>
          <w:kern w:val="0"/>
          <w:szCs w:val="21"/>
        </w:rPr>
        <w:t>提出了基于热力模型与粒子群优化算法相结合的非线性诊断方法，从全局优化的角度改善了诊断结果的准确性。</w:t>
      </w:r>
    </w:p>
    <w:p>
      <w:pPr>
        <w:widowControl/>
        <w:ind w:firstLine="420" w:firstLineChars="200"/>
        <w:rPr>
          <w:kern w:val="0"/>
          <w:szCs w:val="21"/>
        </w:rPr>
      </w:pPr>
      <w:r>
        <w:rPr>
          <w:rFonts w:hint="eastAsia"/>
          <w:kern w:val="0"/>
          <w:szCs w:val="21"/>
        </w:rPr>
        <w:t>（3）</w:t>
      </w:r>
      <w:r>
        <w:rPr>
          <w:kern w:val="0"/>
          <w:szCs w:val="21"/>
        </w:rPr>
        <w:t>提出了基于灰色关联理论与热力模型相结合的混合型非线性气路诊断方法，从故障系数矩阵降维的角度兼顾了诊断结果的准确性和实时性。</w:t>
      </w:r>
    </w:p>
    <w:p>
      <w:pPr>
        <w:widowControl/>
        <w:ind w:firstLine="420" w:firstLineChars="200"/>
        <w:rPr>
          <w:kern w:val="0"/>
          <w:szCs w:val="21"/>
        </w:rPr>
      </w:pPr>
      <w:r>
        <w:rPr>
          <w:rFonts w:hint="eastAsia"/>
          <w:kern w:val="0"/>
          <w:szCs w:val="21"/>
        </w:rPr>
        <w:t>（4）</w:t>
      </w:r>
      <w:r>
        <w:rPr>
          <w:kern w:val="0"/>
          <w:szCs w:val="21"/>
        </w:rPr>
        <w:t>采用高斯数据调和方法解决了诊断准确性高度依赖传感器可靠性的问题，降低了部件健康参数对传感器测量偏差的敏感性。</w:t>
      </w:r>
    </w:p>
    <w:p>
      <w:pPr>
        <w:widowControl/>
        <w:ind w:firstLine="420" w:firstLineChars="200"/>
        <w:rPr>
          <w:kern w:val="0"/>
          <w:szCs w:val="21"/>
        </w:rPr>
      </w:pPr>
      <w:r>
        <w:rPr>
          <w:rFonts w:hint="eastAsia"/>
          <w:kern w:val="0"/>
          <w:szCs w:val="21"/>
        </w:rPr>
        <w:t>（5）</w:t>
      </w:r>
      <w:r>
        <w:rPr>
          <w:kern w:val="0"/>
          <w:szCs w:val="21"/>
        </w:rPr>
        <w:t>提出了基于多维特征提取与灰色关联算法的诊断方法，能够准确有效的识别不同的故障类型及故障严重程度；</w:t>
      </w:r>
      <w:r>
        <w:rPr>
          <w:rFonts w:hint="eastAsia"/>
          <w:kern w:val="0"/>
          <w:szCs w:val="21"/>
        </w:rPr>
        <w:t>其中，</w:t>
      </w:r>
      <w:r>
        <w:rPr>
          <w:kern w:val="0"/>
          <w:szCs w:val="21"/>
        </w:rPr>
        <w:t>故障识别成功率能够达到100%，而对不同故障类型及故障严重程度的总体识别成功率也能达到96%以上；算法简单易编程，能够较好地解决模式识别算法易用性与准确性的矛盾问题。</w:t>
      </w:r>
    </w:p>
    <w:p>
      <w:pPr>
        <w:ind w:firstLine="420" w:firstLineChars="200"/>
        <w:rPr>
          <w:kern w:val="0"/>
          <w:szCs w:val="21"/>
        </w:rPr>
      </w:pPr>
      <w:r>
        <w:rPr>
          <w:rFonts w:hint="eastAsia"/>
          <w:kern w:val="0"/>
          <w:szCs w:val="21"/>
        </w:rPr>
        <w:t>本项目所形成科技成果是一种对正在演变或即将发生的恶化情况发布早期预警信息的有效技术手段，</w:t>
      </w:r>
      <w:r>
        <w:rPr>
          <w:kern w:val="0"/>
          <w:szCs w:val="21"/>
        </w:rPr>
        <w:t>从原理上实现</w:t>
      </w:r>
      <w:r>
        <w:rPr>
          <w:rFonts w:hint="eastAsia"/>
          <w:kern w:val="0"/>
          <w:szCs w:val="21"/>
        </w:rPr>
        <w:t>设备</w:t>
      </w:r>
      <w:r>
        <w:rPr>
          <w:kern w:val="0"/>
          <w:szCs w:val="21"/>
        </w:rPr>
        <w:t>性能分析—诊断—预测方法的有效耦合，</w:t>
      </w:r>
      <w:r>
        <w:rPr>
          <w:rFonts w:hint="eastAsia"/>
          <w:kern w:val="0"/>
          <w:szCs w:val="21"/>
        </w:rPr>
        <w:t>为实现复杂强非线性热力系统、</w:t>
      </w:r>
      <w:r>
        <w:rPr>
          <w:kern w:val="0"/>
          <w:szCs w:val="21"/>
        </w:rPr>
        <w:t>动力系统、机械系统</w:t>
      </w:r>
      <w:r>
        <w:rPr>
          <w:rFonts w:hint="eastAsia"/>
          <w:kern w:val="0"/>
          <w:szCs w:val="21"/>
        </w:rPr>
        <w:t>故障诊断与预测提出新方法</w:t>
      </w:r>
      <w:r>
        <w:rPr>
          <w:kern w:val="0"/>
          <w:szCs w:val="21"/>
        </w:rPr>
        <w:t>；在功能上实现详尽的、量化的、准确的各主要部件的故障诊断与预测目的，给制定恰当合理的</w:t>
      </w:r>
      <w:r>
        <w:rPr>
          <w:rFonts w:hint="eastAsia"/>
          <w:kern w:val="0"/>
          <w:szCs w:val="21"/>
        </w:rPr>
        <w:t>优化控制</w:t>
      </w:r>
      <w:r>
        <w:rPr>
          <w:kern w:val="0"/>
          <w:szCs w:val="21"/>
        </w:rPr>
        <w:t>和维修策略提供理论指导，对其推动从预防性维修保养过渡到预测性维修保养的维修理念改革起到重要的理论意义和实践价值。2016年，已将该项目相关研究成果应用于重庆群峰科技发展有限公司下的重庆天海星两江数码工坊的建筑施工过程，</w:t>
      </w:r>
      <w:r>
        <w:rPr>
          <w:rFonts w:hint="eastAsia"/>
          <w:kern w:val="0"/>
          <w:szCs w:val="21"/>
        </w:rPr>
        <w:t>累计产生</w:t>
      </w:r>
      <w:r>
        <w:rPr>
          <w:kern w:val="0"/>
          <w:szCs w:val="21"/>
        </w:rPr>
        <w:t>经济效益2080</w:t>
      </w:r>
      <w:r>
        <w:rPr>
          <w:rFonts w:hint="eastAsia"/>
          <w:kern w:val="0"/>
          <w:szCs w:val="21"/>
        </w:rPr>
        <w:t>万元</w:t>
      </w:r>
      <w:r>
        <w:rPr>
          <w:kern w:val="0"/>
          <w:szCs w:val="21"/>
        </w:rPr>
        <w:t>。同年，已将本项目相关技术应用到“重庆东水门P+R换成中心项目”的停车设备制造及安装过程中，累计</w:t>
      </w:r>
      <w:r>
        <w:rPr>
          <w:rFonts w:hint="eastAsia"/>
          <w:kern w:val="0"/>
          <w:szCs w:val="21"/>
        </w:rPr>
        <w:t>产生</w:t>
      </w:r>
      <w:r>
        <w:rPr>
          <w:kern w:val="0"/>
          <w:szCs w:val="21"/>
        </w:rPr>
        <w:t>经济效益640</w:t>
      </w:r>
      <w:r>
        <w:rPr>
          <w:rFonts w:hint="eastAsia"/>
          <w:kern w:val="0"/>
          <w:szCs w:val="21"/>
        </w:rPr>
        <w:t>万</w:t>
      </w:r>
      <w:r>
        <w:rPr>
          <w:kern w:val="0"/>
          <w:szCs w:val="21"/>
        </w:rPr>
        <w:t>元，在国内外SCI检索期刊上发表论文20</w:t>
      </w:r>
      <w:r>
        <w:rPr>
          <w:rFonts w:hint="eastAsia"/>
          <w:kern w:val="0"/>
          <w:szCs w:val="21"/>
        </w:rPr>
        <w:t>余篇</w:t>
      </w:r>
      <w:r>
        <w:rPr>
          <w:kern w:val="0"/>
          <w:szCs w:val="21"/>
        </w:rPr>
        <w:t>，发明专利20</w:t>
      </w:r>
      <w:r>
        <w:rPr>
          <w:rFonts w:hint="eastAsia"/>
          <w:kern w:val="0"/>
          <w:szCs w:val="21"/>
        </w:rPr>
        <w:t>项。</w:t>
      </w:r>
    </w:p>
    <w:p>
      <w:pPr>
        <w:ind w:firstLine="420" w:firstLineChars="200"/>
        <w:rPr>
          <w:kern w:val="0"/>
          <w:szCs w:val="21"/>
        </w:rPr>
      </w:pPr>
    </w:p>
    <w:p>
      <w:pPr>
        <w:numPr>
          <w:ilvl w:val="0"/>
          <w:numId w:val="1"/>
        </w:numPr>
        <w:rPr>
          <w:b/>
          <w:bCs/>
        </w:rPr>
      </w:pPr>
      <w:r>
        <w:rPr>
          <w:rFonts w:hint="eastAsia"/>
          <w:b/>
          <w:bCs/>
        </w:rPr>
        <w:t>知识产权情况</w:t>
      </w:r>
    </w:p>
    <w:tbl>
      <w:tblPr>
        <w:tblStyle w:val="4"/>
        <w:tblW w:w="9791" w:type="dxa"/>
        <w:jc w:val="center"/>
        <w:tblInd w:w="0" w:type="dxa"/>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581"/>
        <w:gridCol w:w="1950"/>
        <w:gridCol w:w="2446"/>
        <w:gridCol w:w="1060"/>
        <w:gridCol w:w="1978"/>
      </w:tblGrid>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76" w:type="dxa"/>
            <w:tcBorders>
              <w:top w:val="single" w:color="auto" w:sz="12" w:space="0"/>
            </w:tcBorders>
            <w:vAlign w:val="center"/>
          </w:tcPr>
          <w:p>
            <w:pPr>
              <w:snapToGrid w:val="0"/>
              <w:spacing w:line="240" w:lineRule="atLeast"/>
              <w:jc w:val="center"/>
              <w:rPr>
                <w:szCs w:val="21"/>
              </w:rPr>
            </w:pPr>
            <w:r>
              <w:rPr>
                <w:rFonts w:hint="eastAsia" w:cs="宋体"/>
                <w:szCs w:val="21"/>
              </w:rPr>
              <w:t>国别</w:t>
            </w:r>
          </w:p>
        </w:tc>
        <w:tc>
          <w:tcPr>
            <w:tcW w:w="1581" w:type="dxa"/>
            <w:tcBorders>
              <w:top w:val="single" w:color="auto" w:sz="12" w:space="0"/>
            </w:tcBorders>
            <w:vAlign w:val="center"/>
          </w:tcPr>
          <w:p>
            <w:pPr>
              <w:snapToGrid w:val="0"/>
              <w:spacing w:line="240" w:lineRule="atLeast"/>
              <w:jc w:val="center"/>
              <w:rPr>
                <w:szCs w:val="21"/>
              </w:rPr>
            </w:pPr>
            <w:r>
              <w:rPr>
                <w:rFonts w:hint="eastAsia" w:cs="宋体"/>
                <w:szCs w:val="21"/>
              </w:rPr>
              <w:t>知识产权类别</w:t>
            </w:r>
          </w:p>
        </w:tc>
        <w:tc>
          <w:tcPr>
            <w:tcW w:w="1950" w:type="dxa"/>
            <w:tcBorders>
              <w:top w:val="single" w:color="auto" w:sz="12" w:space="0"/>
            </w:tcBorders>
            <w:vAlign w:val="center"/>
          </w:tcPr>
          <w:p>
            <w:pPr>
              <w:snapToGrid w:val="0"/>
              <w:spacing w:line="240" w:lineRule="atLeast"/>
              <w:jc w:val="center"/>
              <w:rPr>
                <w:szCs w:val="21"/>
              </w:rPr>
            </w:pPr>
            <w:r>
              <w:rPr>
                <w:rFonts w:hint="eastAsia" w:cs="宋体"/>
                <w:szCs w:val="21"/>
              </w:rPr>
              <w:t>授权号</w:t>
            </w:r>
          </w:p>
        </w:tc>
        <w:tc>
          <w:tcPr>
            <w:tcW w:w="2446" w:type="dxa"/>
            <w:tcBorders>
              <w:top w:val="single" w:color="auto" w:sz="12" w:space="0"/>
            </w:tcBorders>
            <w:vAlign w:val="center"/>
          </w:tcPr>
          <w:p>
            <w:pPr>
              <w:snapToGrid w:val="0"/>
              <w:spacing w:line="240" w:lineRule="atLeast"/>
              <w:jc w:val="center"/>
              <w:rPr>
                <w:szCs w:val="21"/>
              </w:rPr>
            </w:pPr>
            <w:r>
              <w:rPr>
                <w:rFonts w:hint="eastAsia" w:cs="宋体"/>
                <w:szCs w:val="21"/>
              </w:rPr>
              <w:t>名称</w:t>
            </w:r>
          </w:p>
        </w:tc>
        <w:tc>
          <w:tcPr>
            <w:tcW w:w="1060" w:type="dxa"/>
            <w:tcBorders>
              <w:top w:val="single" w:color="auto" w:sz="12" w:space="0"/>
            </w:tcBorders>
            <w:vAlign w:val="center"/>
          </w:tcPr>
          <w:p>
            <w:pPr>
              <w:snapToGrid w:val="0"/>
              <w:spacing w:line="240" w:lineRule="atLeast"/>
              <w:jc w:val="center"/>
              <w:rPr>
                <w:rFonts w:cs="宋体"/>
                <w:szCs w:val="21"/>
              </w:rPr>
            </w:pPr>
            <w:r>
              <w:rPr>
                <w:rFonts w:hint="eastAsia" w:cs="宋体"/>
                <w:szCs w:val="21"/>
              </w:rPr>
              <w:t>核心专利</w:t>
            </w:r>
          </w:p>
        </w:tc>
        <w:tc>
          <w:tcPr>
            <w:tcW w:w="1978" w:type="dxa"/>
            <w:tcBorders>
              <w:top w:val="single" w:color="auto" w:sz="12" w:space="0"/>
            </w:tcBorders>
            <w:vAlign w:val="center"/>
          </w:tcPr>
          <w:p>
            <w:pPr>
              <w:snapToGrid w:val="0"/>
              <w:spacing w:line="240" w:lineRule="atLeast"/>
              <w:jc w:val="center"/>
              <w:rPr>
                <w:rFonts w:cs="宋体"/>
                <w:szCs w:val="21"/>
              </w:rPr>
            </w:pPr>
            <w:r>
              <w:rPr>
                <w:rFonts w:hint="eastAsia" w:cs="宋体"/>
                <w:szCs w:val="21"/>
              </w:rPr>
              <w:t>本年度</w:t>
            </w:r>
            <w:r>
              <w:rPr>
                <w:rFonts w:cs="宋体"/>
                <w:szCs w:val="21"/>
              </w:rPr>
              <w:t>3</w:t>
            </w:r>
            <w:r>
              <w:rPr>
                <w:rFonts w:hint="eastAsia" w:cs="宋体"/>
                <w:szCs w:val="21"/>
              </w:rPr>
              <w:t>月</w:t>
            </w:r>
            <w:r>
              <w:rPr>
                <w:rFonts w:cs="宋体"/>
                <w:szCs w:val="21"/>
              </w:rPr>
              <w:t>31</w:t>
            </w:r>
            <w:r>
              <w:rPr>
                <w:rFonts w:hint="eastAsia" w:cs="宋体"/>
                <w:szCs w:val="21"/>
              </w:rPr>
              <w:t>日时的有效状态</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76" w:type="dxa"/>
            <w:tcBorders>
              <w:top w:val="single" w:color="auto" w:sz="12" w:space="0"/>
            </w:tcBorders>
            <w:vAlign w:val="center"/>
          </w:tcPr>
          <w:p>
            <w:pPr>
              <w:snapToGrid w:val="0"/>
              <w:spacing w:line="240" w:lineRule="atLeast"/>
              <w:rPr>
                <w:rFonts w:hAnsi="宋体"/>
                <w:color w:val="000000"/>
                <w:kern w:val="0"/>
                <w:szCs w:val="21"/>
              </w:rPr>
            </w:pPr>
            <w:r>
              <w:rPr>
                <w:rFonts w:hAnsi="宋体"/>
                <w:color w:val="000000"/>
                <w:kern w:val="0"/>
                <w:szCs w:val="21"/>
              </w:rPr>
              <w:t>中国</w:t>
            </w:r>
          </w:p>
        </w:tc>
        <w:tc>
          <w:tcPr>
            <w:tcW w:w="1581" w:type="dxa"/>
            <w:tcBorders>
              <w:top w:val="single" w:color="auto" w:sz="12" w:space="0"/>
            </w:tcBorders>
            <w:vAlign w:val="center"/>
          </w:tcPr>
          <w:p>
            <w:pPr>
              <w:snapToGrid w:val="0"/>
              <w:spacing w:line="240" w:lineRule="atLeast"/>
              <w:rPr>
                <w:rFonts w:hAnsi="宋体"/>
                <w:color w:val="000000"/>
                <w:kern w:val="0"/>
                <w:szCs w:val="21"/>
              </w:rPr>
            </w:pPr>
            <w:r>
              <w:rPr>
                <w:rFonts w:hAnsi="宋体"/>
                <w:color w:val="000000"/>
                <w:kern w:val="0"/>
                <w:szCs w:val="21"/>
              </w:rPr>
              <w:t>授权发明专利</w:t>
            </w:r>
          </w:p>
        </w:tc>
        <w:tc>
          <w:tcPr>
            <w:tcW w:w="1950" w:type="dxa"/>
            <w:tcBorders>
              <w:top w:val="single" w:color="auto" w:sz="12" w:space="0"/>
            </w:tcBorders>
            <w:vAlign w:val="center"/>
          </w:tcPr>
          <w:p>
            <w:pPr>
              <w:snapToGrid w:val="0"/>
              <w:spacing w:line="240" w:lineRule="atLeast"/>
              <w:rPr>
                <w:rFonts w:hAnsi="宋体"/>
                <w:color w:val="000000"/>
                <w:kern w:val="0"/>
                <w:szCs w:val="21"/>
              </w:rPr>
            </w:pPr>
            <w:r>
              <w:rPr>
                <w:szCs w:val="21"/>
              </w:rPr>
              <w:t>201410111726.2</w:t>
            </w:r>
          </w:p>
        </w:tc>
        <w:tc>
          <w:tcPr>
            <w:tcW w:w="2446" w:type="dxa"/>
            <w:tcBorders>
              <w:top w:val="single" w:color="auto" w:sz="12" w:space="0"/>
            </w:tcBorders>
            <w:vAlign w:val="center"/>
          </w:tcPr>
          <w:p>
            <w:pPr>
              <w:snapToGrid w:val="0"/>
              <w:spacing w:line="240" w:lineRule="atLeast"/>
              <w:rPr>
                <w:rFonts w:hAnsi="宋体"/>
                <w:color w:val="000000"/>
                <w:kern w:val="0"/>
                <w:szCs w:val="21"/>
              </w:rPr>
            </w:pPr>
            <w:r>
              <w:rPr>
                <w:szCs w:val="21"/>
              </w:rPr>
              <w:t>齿轮箱故障诊断方法及装置</w:t>
            </w:r>
          </w:p>
        </w:tc>
        <w:tc>
          <w:tcPr>
            <w:tcW w:w="1060" w:type="dxa"/>
            <w:tcBorders>
              <w:top w:val="single" w:color="auto" w:sz="12" w:space="0"/>
            </w:tcBorders>
            <w:vAlign w:val="center"/>
          </w:tcPr>
          <w:p>
            <w:pPr>
              <w:snapToGrid w:val="0"/>
              <w:spacing w:line="240" w:lineRule="atLeast"/>
              <w:rPr>
                <w:rFonts w:hAnsi="宋体"/>
                <w:color w:val="000000"/>
                <w:kern w:val="0"/>
                <w:szCs w:val="21"/>
              </w:rPr>
            </w:pPr>
            <w:r>
              <w:rPr>
                <w:rFonts w:hAnsi="宋体"/>
                <w:color w:val="000000"/>
                <w:kern w:val="0"/>
                <w:szCs w:val="21"/>
              </w:rPr>
              <w:t>是</w:t>
            </w:r>
          </w:p>
        </w:tc>
        <w:tc>
          <w:tcPr>
            <w:tcW w:w="1978" w:type="dxa"/>
            <w:tcBorders>
              <w:top w:val="single" w:color="auto" w:sz="12" w:space="0"/>
            </w:tcBorders>
            <w:vAlign w:val="center"/>
          </w:tcPr>
          <w:p>
            <w:pPr>
              <w:snapToGrid w:val="0"/>
              <w:spacing w:line="240" w:lineRule="atLeast"/>
              <w:rPr>
                <w:rFonts w:hAnsi="宋体"/>
                <w:color w:val="000000"/>
                <w:kern w:val="0"/>
                <w:szCs w:val="21"/>
              </w:rPr>
            </w:pPr>
            <w:r>
              <w:rPr>
                <w:rFonts w:hAnsi="宋体"/>
                <w:color w:val="000000"/>
                <w:kern w:val="0"/>
                <w:szCs w:val="21"/>
              </w:rPr>
              <w:t>有效专利</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76" w:type="dxa"/>
            <w:vAlign w:val="center"/>
          </w:tcPr>
          <w:p>
            <w:pPr>
              <w:snapToGrid w:val="0"/>
              <w:spacing w:line="240" w:lineRule="atLeast"/>
              <w:rPr>
                <w:rFonts w:hAnsi="宋体"/>
                <w:color w:val="000000"/>
                <w:kern w:val="0"/>
                <w:szCs w:val="21"/>
              </w:rPr>
            </w:pPr>
            <w:r>
              <w:rPr>
                <w:rFonts w:hAnsi="宋体"/>
                <w:color w:val="000000"/>
                <w:kern w:val="0"/>
                <w:szCs w:val="21"/>
              </w:rPr>
              <w:t>中国</w:t>
            </w:r>
          </w:p>
        </w:tc>
        <w:tc>
          <w:tcPr>
            <w:tcW w:w="1581" w:type="dxa"/>
            <w:vAlign w:val="center"/>
          </w:tcPr>
          <w:p>
            <w:pPr>
              <w:snapToGrid w:val="0"/>
              <w:spacing w:line="240" w:lineRule="atLeast"/>
              <w:rPr>
                <w:rFonts w:hAnsi="宋体"/>
                <w:color w:val="000000"/>
                <w:kern w:val="0"/>
                <w:szCs w:val="21"/>
              </w:rPr>
            </w:pPr>
            <w:r>
              <w:rPr>
                <w:rFonts w:hAnsi="宋体"/>
                <w:color w:val="000000"/>
                <w:kern w:val="0"/>
                <w:szCs w:val="21"/>
              </w:rPr>
              <w:t>授权发明专利</w:t>
            </w:r>
          </w:p>
        </w:tc>
        <w:tc>
          <w:tcPr>
            <w:tcW w:w="1950" w:type="dxa"/>
            <w:vAlign w:val="center"/>
          </w:tcPr>
          <w:p>
            <w:pPr>
              <w:snapToGrid w:val="0"/>
              <w:spacing w:line="240" w:lineRule="atLeast"/>
              <w:rPr>
                <w:rFonts w:hAnsi="宋体"/>
                <w:color w:val="000000"/>
                <w:kern w:val="0"/>
                <w:szCs w:val="21"/>
              </w:rPr>
            </w:pPr>
            <w:r>
              <w:rPr>
                <w:szCs w:val="21"/>
              </w:rPr>
              <w:t>201110361602.6</w:t>
            </w:r>
          </w:p>
        </w:tc>
        <w:tc>
          <w:tcPr>
            <w:tcW w:w="2446" w:type="dxa"/>
            <w:vAlign w:val="center"/>
          </w:tcPr>
          <w:p>
            <w:pPr>
              <w:snapToGrid w:val="0"/>
              <w:spacing w:line="240" w:lineRule="atLeast"/>
              <w:rPr>
                <w:rFonts w:hAnsi="宋体"/>
                <w:color w:val="000000"/>
                <w:kern w:val="0"/>
                <w:szCs w:val="21"/>
              </w:rPr>
            </w:pPr>
            <w:r>
              <w:rPr>
                <w:szCs w:val="21"/>
              </w:rPr>
              <w:t>基于传感器网络的复杂环境下多目标信息融合方法</w:t>
            </w:r>
          </w:p>
        </w:tc>
        <w:tc>
          <w:tcPr>
            <w:tcW w:w="1060" w:type="dxa"/>
            <w:vAlign w:val="center"/>
          </w:tcPr>
          <w:p>
            <w:pPr>
              <w:snapToGrid w:val="0"/>
              <w:spacing w:line="240" w:lineRule="atLeast"/>
              <w:rPr>
                <w:rFonts w:hAnsi="宋体"/>
                <w:color w:val="000000"/>
                <w:kern w:val="0"/>
                <w:szCs w:val="21"/>
              </w:rPr>
            </w:pPr>
            <w:r>
              <w:rPr>
                <w:rFonts w:hAnsi="宋体"/>
                <w:color w:val="000000"/>
                <w:kern w:val="0"/>
                <w:szCs w:val="21"/>
              </w:rPr>
              <w:t>是</w:t>
            </w:r>
          </w:p>
        </w:tc>
        <w:tc>
          <w:tcPr>
            <w:tcW w:w="1978" w:type="dxa"/>
            <w:vAlign w:val="center"/>
          </w:tcPr>
          <w:p>
            <w:pPr>
              <w:snapToGrid w:val="0"/>
              <w:spacing w:line="240" w:lineRule="atLeast"/>
              <w:rPr>
                <w:rFonts w:hAnsi="宋体"/>
                <w:color w:val="000000"/>
                <w:kern w:val="0"/>
                <w:szCs w:val="21"/>
              </w:rPr>
            </w:pPr>
            <w:r>
              <w:rPr>
                <w:rFonts w:hAnsi="宋体"/>
                <w:color w:val="000000"/>
                <w:kern w:val="0"/>
                <w:szCs w:val="21"/>
              </w:rPr>
              <w:t>有效专利</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76" w:type="dxa"/>
            <w:vAlign w:val="center"/>
          </w:tcPr>
          <w:p>
            <w:pPr>
              <w:snapToGrid w:val="0"/>
              <w:spacing w:line="240" w:lineRule="atLeast"/>
              <w:jc w:val="left"/>
              <w:rPr>
                <w:rFonts w:hAnsi="宋体"/>
                <w:color w:val="000000"/>
                <w:kern w:val="0"/>
                <w:szCs w:val="21"/>
              </w:rPr>
            </w:pPr>
            <w:r>
              <w:rPr>
                <w:rFonts w:hAnsi="宋体"/>
                <w:color w:val="000000"/>
                <w:kern w:val="0"/>
                <w:szCs w:val="21"/>
              </w:rPr>
              <w:t>中国</w:t>
            </w:r>
          </w:p>
        </w:tc>
        <w:tc>
          <w:tcPr>
            <w:tcW w:w="1581" w:type="dxa"/>
            <w:vAlign w:val="center"/>
          </w:tcPr>
          <w:p>
            <w:pPr>
              <w:snapToGrid w:val="0"/>
              <w:spacing w:line="240" w:lineRule="atLeast"/>
              <w:jc w:val="left"/>
              <w:rPr>
                <w:rFonts w:hAnsi="宋体"/>
                <w:color w:val="000000"/>
                <w:kern w:val="0"/>
                <w:szCs w:val="21"/>
              </w:rPr>
            </w:pPr>
            <w:r>
              <w:rPr>
                <w:rFonts w:hAnsi="宋体"/>
                <w:color w:val="000000"/>
                <w:kern w:val="0"/>
                <w:szCs w:val="21"/>
              </w:rPr>
              <w:t>授权发明专利</w:t>
            </w:r>
          </w:p>
        </w:tc>
        <w:tc>
          <w:tcPr>
            <w:tcW w:w="1950" w:type="dxa"/>
            <w:vAlign w:val="center"/>
          </w:tcPr>
          <w:p>
            <w:pPr>
              <w:snapToGrid w:val="0"/>
              <w:spacing w:line="240" w:lineRule="atLeast"/>
              <w:jc w:val="left"/>
              <w:rPr>
                <w:szCs w:val="21"/>
              </w:rPr>
            </w:pPr>
            <w:r>
              <w:rPr>
                <w:szCs w:val="21"/>
              </w:rPr>
              <w:t>201110347523.X</w:t>
            </w:r>
          </w:p>
        </w:tc>
        <w:tc>
          <w:tcPr>
            <w:tcW w:w="2446" w:type="dxa"/>
            <w:vAlign w:val="center"/>
          </w:tcPr>
          <w:p>
            <w:pPr>
              <w:snapToGrid w:val="0"/>
              <w:spacing w:line="240" w:lineRule="atLeast"/>
              <w:jc w:val="left"/>
              <w:rPr>
                <w:szCs w:val="21"/>
              </w:rPr>
            </w:pPr>
            <w:r>
              <w:rPr>
                <w:szCs w:val="21"/>
              </w:rPr>
              <w:t>复杂环境下一种新的通信电台个体识别方法</w:t>
            </w:r>
          </w:p>
        </w:tc>
        <w:tc>
          <w:tcPr>
            <w:tcW w:w="1060" w:type="dxa"/>
            <w:vAlign w:val="center"/>
          </w:tcPr>
          <w:p>
            <w:pPr>
              <w:snapToGrid w:val="0"/>
              <w:spacing w:line="240" w:lineRule="atLeast"/>
              <w:jc w:val="left"/>
              <w:rPr>
                <w:rFonts w:hAnsi="宋体"/>
                <w:color w:val="000000"/>
                <w:kern w:val="0"/>
                <w:szCs w:val="21"/>
              </w:rPr>
            </w:pPr>
            <w:r>
              <w:rPr>
                <w:rFonts w:hAnsi="宋体"/>
                <w:color w:val="000000"/>
                <w:kern w:val="0"/>
                <w:szCs w:val="21"/>
              </w:rPr>
              <w:t>是</w:t>
            </w:r>
          </w:p>
        </w:tc>
        <w:tc>
          <w:tcPr>
            <w:tcW w:w="1978" w:type="dxa"/>
            <w:vAlign w:val="center"/>
          </w:tcPr>
          <w:p>
            <w:pPr>
              <w:snapToGrid w:val="0"/>
              <w:spacing w:line="240" w:lineRule="atLeast"/>
              <w:jc w:val="left"/>
              <w:rPr>
                <w:rFonts w:hAnsi="宋体"/>
                <w:color w:val="000000"/>
                <w:kern w:val="0"/>
                <w:szCs w:val="21"/>
              </w:rPr>
            </w:pPr>
            <w:r>
              <w:rPr>
                <w:rFonts w:hAnsi="宋体"/>
                <w:color w:val="000000"/>
                <w:kern w:val="0"/>
                <w:szCs w:val="21"/>
              </w:rPr>
              <w:t>有效专利</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776" w:type="dxa"/>
            <w:vAlign w:val="center"/>
          </w:tcPr>
          <w:p>
            <w:pPr>
              <w:snapToGrid w:val="0"/>
              <w:spacing w:line="240" w:lineRule="atLeast"/>
              <w:jc w:val="left"/>
              <w:rPr>
                <w:rFonts w:hAnsi="宋体"/>
                <w:color w:val="000000"/>
                <w:kern w:val="0"/>
                <w:szCs w:val="21"/>
              </w:rPr>
            </w:pPr>
            <w:r>
              <w:rPr>
                <w:rFonts w:hAnsi="宋体"/>
                <w:color w:val="000000"/>
                <w:kern w:val="0"/>
                <w:szCs w:val="21"/>
              </w:rPr>
              <w:t>中国</w:t>
            </w:r>
          </w:p>
        </w:tc>
        <w:tc>
          <w:tcPr>
            <w:tcW w:w="1581" w:type="dxa"/>
            <w:vAlign w:val="center"/>
          </w:tcPr>
          <w:p>
            <w:pPr>
              <w:snapToGrid w:val="0"/>
              <w:spacing w:line="240" w:lineRule="atLeast"/>
              <w:jc w:val="left"/>
              <w:rPr>
                <w:rFonts w:hAnsi="宋体"/>
                <w:color w:val="000000"/>
                <w:kern w:val="0"/>
                <w:szCs w:val="21"/>
              </w:rPr>
            </w:pPr>
            <w:r>
              <w:rPr>
                <w:rFonts w:hAnsi="宋体"/>
                <w:color w:val="000000"/>
                <w:kern w:val="0"/>
                <w:szCs w:val="21"/>
              </w:rPr>
              <w:t>授权发明专利</w:t>
            </w:r>
          </w:p>
        </w:tc>
        <w:tc>
          <w:tcPr>
            <w:tcW w:w="1950" w:type="dxa"/>
            <w:vAlign w:val="center"/>
          </w:tcPr>
          <w:p>
            <w:pPr>
              <w:snapToGrid w:val="0"/>
              <w:spacing w:line="240" w:lineRule="atLeast"/>
              <w:jc w:val="left"/>
              <w:rPr>
                <w:szCs w:val="21"/>
              </w:rPr>
            </w:pPr>
            <w:r>
              <w:rPr>
                <w:szCs w:val="21"/>
              </w:rPr>
              <w:t>201410318559.9</w:t>
            </w:r>
          </w:p>
        </w:tc>
        <w:tc>
          <w:tcPr>
            <w:tcW w:w="2446" w:type="dxa"/>
            <w:vAlign w:val="center"/>
          </w:tcPr>
          <w:p>
            <w:pPr>
              <w:snapToGrid w:val="0"/>
              <w:spacing w:line="240" w:lineRule="atLeast"/>
              <w:jc w:val="left"/>
              <w:rPr>
                <w:szCs w:val="21"/>
              </w:rPr>
            </w:pPr>
            <w:r>
              <w:rPr>
                <w:szCs w:val="21"/>
              </w:rPr>
              <w:t>旋转编码器</w:t>
            </w:r>
          </w:p>
        </w:tc>
        <w:tc>
          <w:tcPr>
            <w:tcW w:w="1060" w:type="dxa"/>
            <w:vAlign w:val="center"/>
          </w:tcPr>
          <w:p>
            <w:pPr>
              <w:snapToGrid w:val="0"/>
              <w:spacing w:line="240" w:lineRule="atLeast"/>
              <w:jc w:val="left"/>
              <w:rPr>
                <w:rFonts w:hAnsi="宋体"/>
                <w:color w:val="000000"/>
                <w:kern w:val="0"/>
                <w:szCs w:val="21"/>
              </w:rPr>
            </w:pPr>
            <w:r>
              <w:rPr>
                <w:rFonts w:hint="eastAsia"/>
                <w:szCs w:val="21"/>
              </w:rPr>
              <w:t>否</w:t>
            </w:r>
          </w:p>
        </w:tc>
        <w:tc>
          <w:tcPr>
            <w:tcW w:w="1978" w:type="dxa"/>
            <w:vAlign w:val="center"/>
          </w:tcPr>
          <w:p>
            <w:pPr>
              <w:snapToGrid w:val="0"/>
              <w:spacing w:line="240" w:lineRule="atLeast"/>
              <w:jc w:val="left"/>
              <w:rPr>
                <w:rFonts w:hAnsi="宋体"/>
                <w:color w:val="000000"/>
                <w:kern w:val="0"/>
                <w:szCs w:val="21"/>
              </w:rPr>
            </w:pPr>
            <w:r>
              <w:rPr>
                <w:rFonts w:hAnsi="宋体"/>
                <w:color w:val="000000"/>
                <w:kern w:val="0"/>
                <w:szCs w:val="21"/>
              </w:rPr>
              <w:t>有效专利</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76" w:type="dxa"/>
            <w:vAlign w:val="center"/>
          </w:tcPr>
          <w:p>
            <w:pPr>
              <w:snapToGrid w:val="0"/>
              <w:spacing w:line="240" w:lineRule="atLeast"/>
              <w:rPr>
                <w:rFonts w:hAnsi="宋体"/>
                <w:color w:val="000000"/>
                <w:kern w:val="0"/>
                <w:szCs w:val="21"/>
              </w:rPr>
            </w:pPr>
            <w:r>
              <w:rPr>
                <w:rFonts w:hAnsi="宋体"/>
                <w:color w:val="000000"/>
                <w:kern w:val="0"/>
                <w:szCs w:val="21"/>
              </w:rPr>
              <w:t>中国</w:t>
            </w:r>
          </w:p>
        </w:tc>
        <w:tc>
          <w:tcPr>
            <w:tcW w:w="1581" w:type="dxa"/>
            <w:vAlign w:val="center"/>
          </w:tcPr>
          <w:p>
            <w:pPr>
              <w:snapToGrid w:val="0"/>
              <w:spacing w:line="240" w:lineRule="atLeast"/>
              <w:rPr>
                <w:rFonts w:hAnsi="宋体"/>
                <w:color w:val="000000"/>
                <w:kern w:val="0"/>
                <w:szCs w:val="21"/>
              </w:rPr>
            </w:pPr>
            <w:r>
              <w:rPr>
                <w:rFonts w:hAnsi="宋体"/>
                <w:color w:val="000000"/>
                <w:kern w:val="0"/>
                <w:szCs w:val="21"/>
              </w:rPr>
              <w:t>授权发明专利</w:t>
            </w:r>
          </w:p>
        </w:tc>
        <w:tc>
          <w:tcPr>
            <w:tcW w:w="1950" w:type="dxa"/>
            <w:vAlign w:val="center"/>
          </w:tcPr>
          <w:p>
            <w:pPr>
              <w:snapToGrid w:val="0"/>
              <w:spacing w:line="240" w:lineRule="atLeast"/>
              <w:rPr>
                <w:rFonts w:hAnsi="宋体"/>
                <w:color w:val="000000"/>
                <w:kern w:val="0"/>
                <w:szCs w:val="21"/>
              </w:rPr>
            </w:pPr>
            <w:r>
              <w:rPr>
                <w:rFonts w:hAnsi="宋体"/>
                <w:color w:val="000000"/>
                <w:kern w:val="0"/>
                <w:szCs w:val="21"/>
              </w:rPr>
              <w:t>201510943574.7</w:t>
            </w:r>
          </w:p>
        </w:tc>
        <w:tc>
          <w:tcPr>
            <w:tcW w:w="2446" w:type="dxa"/>
            <w:vAlign w:val="center"/>
          </w:tcPr>
          <w:p>
            <w:pPr>
              <w:snapToGrid w:val="0"/>
              <w:spacing w:line="240" w:lineRule="atLeast"/>
              <w:rPr>
                <w:rFonts w:hAnsi="宋体"/>
                <w:color w:val="000000"/>
                <w:kern w:val="0"/>
                <w:szCs w:val="21"/>
              </w:rPr>
            </w:pPr>
            <w:r>
              <w:rPr>
                <w:rFonts w:hAnsi="宋体"/>
                <w:color w:val="000000"/>
                <w:kern w:val="0"/>
                <w:szCs w:val="21"/>
              </w:rPr>
              <w:t>海上漂浮式风力发电机之运输安装装置</w:t>
            </w:r>
          </w:p>
        </w:tc>
        <w:tc>
          <w:tcPr>
            <w:tcW w:w="1060" w:type="dxa"/>
            <w:vAlign w:val="center"/>
          </w:tcPr>
          <w:p>
            <w:pPr>
              <w:snapToGrid w:val="0"/>
              <w:spacing w:line="240" w:lineRule="atLeast"/>
              <w:rPr>
                <w:rFonts w:hAnsi="宋体"/>
                <w:color w:val="000000"/>
                <w:kern w:val="0"/>
                <w:szCs w:val="21"/>
              </w:rPr>
            </w:pPr>
            <w:r>
              <w:rPr>
                <w:rFonts w:hint="eastAsia"/>
                <w:szCs w:val="21"/>
              </w:rPr>
              <w:t>否</w:t>
            </w:r>
          </w:p>
        </w:tc>
        <w:tc>
          <w:tcPr>
            <w:tcW w:w="1978" w:type="dxa"/>
            <w:vAlign w:val="center"/>
          </w:tcPr>
          <w:p>
            <w:pPr>
              <w:snapToGrid w:val="0"/>
              <w:spacing w:line="240" w:lineRule="atLeast"/>
              <w:rPr>
                <w:rFonts w:hAnsi="宋体"/>
                <w:color w:val="000000"/>
                <w:kern w:val="0"/>
                <w:szCs w:val="21"/>
              </w:rPr>
            </w:pPr>
            <w:r>
              <w:rPr>
                <w:rFonts w:hAnsi="宋体"/>
                <w:color w:val="000000"/>
                <w:kern w:val="0"/>
                <w:szCs w:val="21"/>
              </w:rPr>
              <w:t>有效专利</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76" w:type="dxa"/>
            <w:vAlign w:val="center"/>
          </w:tcPr>
          <w:p>
            <w:pPr>
              <w:snapToGrid w:val="0"/>
              <w:spacing w:line="240" w:lineRule="atLeast"/>
              <w:rPr>
                <w:rFonts w:hAnsi="宋体"/>
                <w:color w:val="000000"/>
                <w:kern w:val="0"/>
                <w:szCs w:val="21"/>
              </w:rPr>
            </w:pPr>
            <w:r>
              <w:rPr>
                <w:rFonts w:hAnsi="宋体"/>
                <w:color w:val="000000"/>
                <w:kern w:val="0"/>
                <w:szCs w:val="21"/>
              </w:rPr>
              <w:t>中国</w:t>
            </w:r>
          </w:p>
        </w:tc>
        <w:tc>
          <w:tcPr>
            <w:tcW w:w="1581" w:type="dxa"/>
            <w:vAlign w:val="center"/>
          </w:tcPr>
          <w:p>
            <w:pPr>
              <w:snapToGrid w:val="0"/>
              <w:spacing w:line="240" w:lineRule="atLeast"/>
              <w:rPr>
                <w:rFonts w:hAnsi="宋体"/>
                <w:color w:val="000000"/>
                <w:kern w:val="0"/>
                <w:szCs w:val="21"/>
              </w:rPr>
            </w:pPr>
            <w:r>
              <w:rPr>
                <w:rFonts w:hAnsi="宋体"/>
                <w:color w:val="000000"/>
                <w:kern w:val="0"/>
                <w:szCs w:val="21"/>
              </w:rPr>
              <w:t>授权发明专利</w:t>
            </w:r>
          </w:p>
        </w:tc>
        <w:tc>
          <w:tcPr>
            <w:tcW w:w="1950" w:type="dxa"/>
            <w:vAlign w:val="center"/>
          </w:tcPr>
          <w:p>
            <w:pPr>
              <w:snapToGrid w:val="0"/>
              <w:spacing w:line="240" w:lineRule="atLeast"/>
              <w:rPr>
                <w:szCs w:val="21"/>
              </w:rPr>
            </w:pPr>
            <w:r>
              <w:rPr>
                <w:szCs w:val="21"/>
              </w:rPr>
              <w:t>201110336558.3</w:t>
            </w:r>
          </w:p>
        </w:tc>
        <w:tc>
          <w:tcPr>
            <w:tcW w:w="2446" w:type="dxa"/>
            <w:vAlign w:val="center"/>
          </w:tcPr>
          <w:p>
            <w:pPr>
              <w:snapToGrid w:val="0"/>
              <w:spacing w:line="240" w:lineRule="atLeast"/>
              <w:rPr>
                <w:szCs w:val="21"/>
              </w:rPr>
            </w:pPr>
            <w:r>
              <w:rPr>
                <w:szCs w:val="21"/>
              </w:rPr>
              <w:t>基于小波包去噪和功率谱熵的线性调频信号参数估计方法</w:t>
            </w:r>
          </w:p>
        </w:tc>
        <w:tc>
          <w:tcPr>
            <w:tcW w:w="1060" w:type="dxa"/>
            <w:vAlign w:val="center"/>
          </w:tcPr>
          <w:p>
            <w:pPr>
              <w:snapToGrid w:val="0"/>
              <w:spacing w:line="240" w:lineRule="atLeast"/>
              <w:rPr>
                <w:rFonts w:hAnsi="宋体"/>
                <w:color w:val="000000"/>
                <w:kern w:val="0"/>
                <w:szCs w:val="21"/>
              </w:rPr>
            </w:pPr>
            <w:r>
              <w:rPr>
                <w:rFonts w:hint="eastAsia"/>
                <w:szCs w:val="21"/>
              </w:rPr>
              <w:t>否</w:t>
            </w:r>
          </w:p>
        </w:tc>
        <w:tc>
          <w:tcPr>
            <w:tcW w:w="1978" w:type="dxa"/>
            <w:vAlign w:val="center"/>
          </w:tcPr>
          <w:p>
            <w:pPr>
              <w:snapToGrid w:val="0"/>
              <w:spacing w:line="240" w:lineRule="atLeast"/>
              <w:rPr>
                <w:rFonts w:hAnsi="宋体"/>
                <w:color w:val="000000"/>
                <w:kern w:val="0"/>
                <w:szCs w:val="21"/>
              </w:rPr>
            </w:pPr>
            <w:r>
              <w:rPr>
                <w:rFonts w:hAnsi="宋体"/>
                <w:color w:val="000000"/>
                <w:kern w:val="0"/>
                <w:szCs w:val="21"/>
              </w:rPr>
              <w:t>有效专利</w:t>
            </w:r>
          </w:p>
        </w:tc>
      </w:tr>
    </w:tbl>
    <w:p>
      <w:bookmarkStart w:id="0" w:name="_GoBack"/>
      <w:bookmarkEnd w:id="0"/>
    </w:p>
    <w:p>
      <w:pPr>
        <w:numPr>
          <w:ilvl w:val="0"/>
          <w:numId w:val="1"/>
        </w:numPr>
        <w:rPr>
          <w:b/>
          <w:bCs/>
        </w:rPr>
      </w:pPr>
      <w:r>
        <w:rPr>
          <w:rFonts w:hint="eastAsia"/>
          <w:b/>
          <w:bCs/>
        </w:rPr>
        <w:t>发表论文著作情况</w:t>
      </w:r>
    </w:p>
    <w:tbl>
      <w:tblPr>
        <w:tblStyle w:val="4"/>
        <w:tblW w:w="10004" w:type="dxa"/>
        <w:tblInd w:w="-6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2"/>
        <w:gridCol w:w="6215"/>
        <w:gridCol w:w="1161"/>
        <w:gridCol w:w="1093"/>
        <w:gridCol w:w="7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trPr>
        <w:tc>
          <w:tcPr>
            <w:tcW w:w="762"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hAnsi="宋体" w:cs="宋体"/>
              </w:rPr>
              <w:t>序号</w:t>
            </w:r>
          </w:p>
        </w:tc>
        <w:tc>
          <w:tcPr>
            <w:tcW w:w="6215"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hAnsi="宋体" w:cs="宋体"/>
              </w:rPr>
              <w:t>论文著作</w:t>
            </w:r>
          </w:p>
        </w:tc>
        <w:tc>
          <w:tcPr>
            <w:tcW w:w="1161" w:type="dxa"/>
            <w:tcBorders>
              <w:top w:val="single" w:color="auto" w:sz="12"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通讯作者</w:t>
            </w:r>
          </w:p>
        </w:tc>
        <w:tc>
          <w:tcPr>
            <w:tcW w:w="1093"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hAnsi="宋体" w:cs="宋体"/>
              </w:rPr>
              <w:t>被</w:t>
            </w:r>
            <w:r>
              <w:rPr>
                <w:rFonts w:ascii="宋体" w:hAnsi="宋体" w:cs="宋体"/>
              </w:rPr>
              <w:t xml:space="preserve"> SCI</w:t>
            </w:r>
            <w:r>
              <w:rPr>
                <w:rFonts w:hint="eastAsia" w:ascii="宋体" w:hAnsi="宋体" w:cs="宋体"/>
              </w:rPr>
              <w:t>、</w:t>
            </w:r>
            <w:r>
              <w:rPr>
                <w:rFonts w:ascii="宋体" w:hAnsi="宋体" w:cs="宋体"/>
              </w:rPr>
              <w:t>EI</w:t>
            </w:r>
            <w:r>
              <w:rPr>
                <w:rFonts w:hint="eastAsia" w:ascii="宋体" w:hAnsi="宋体" w:cs="宋体"/>
              </w:rPr>
              <w:t>收录</w:t>
            </w:r>
          </w:p>
        </w:tc>
        <w:tc>
          <w:tcPr>
            <w:tcW w:w="773"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hAnsi="宋体" w:cs="宋体"/>
              </w:rPr>
              <w:t>引用次数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trPr>
        <w:tc>
          <w:tcPr>
            <w:tcW w:w="762" w:type="dxa"/>
            <w:vAlign w:val="center"/>
          </w:tcPr>
          <w:p>
            <w:pPr>
              <w:spacing w:line="220" w:lineRule="exact"/>
              <w:jc w:val="center"/>
              <w:rPr>
                <w:color w:val="000000"/>
                <w:szCs w:val="21"/>
              </w:rPr>
            </w:pPr>
            <w:r>
              <w:rPr>
                <w:rFonts w:hint="eastAsia"/>
                <w:color w:val="000000"/>
                <w:szCs w:val="21"/>
              </w:rPr>
              <w:t>1</w:t>
            </w:r>
          </w:p>
        </w:tc>
        <w:tc>
          <w:tcPr>
            <w:tcW w:w="6215" w:type="dxa"/>
            <w:vAlign w:val="center"/>
          </w:tcPr>
          <w:p>
            <w:pPr>
              <w:tabs>
                <w:tab w:val="left" w:pos="720"/>
              </w:tabs>
              <w:rPr>
                <w:color w:val="000000"/>
                <w:szCs w:val="21"/>
              </w:rPr>
            </w:pPr>
            <w:r>
              <w:rPr>
                <w:color w:val="000000"/>
                <w:szCs w:val="21"/>
              </w:rPr>
              <w:t xml:space="preserve">Jingchao Li, Yulong Ying. A Method to Improve the Robustness of Gas Turbine Gas-Path Fault Diagnosis Against Sensor Faults[J]. IEEE Transactions on Reliability, March 2018, 67(1): 3-12. </w:t>
            </w:r>
          </w:p>
        </w:tc>
        <w:tc>
          <w:tcPr>
            <w:tcW w:w="1161" w:type="dxa"/>
          </w:tcPr>
          <w:p>
            <w:pPr>
              <w:spacing w:line="220" w:lineRule="exact"/>
              <w:jc w:val="center"/>
              <w:rPr>
                <w:color w:val="000000"/>
                <w:szCs w:val="21"/>
              </w:rPr>
            </w:pPr>
            <w:r>
              <w:rPr>
                <w:color w:val="000000"/>
                <w:szCs w:val="21"/>
              </w:rPr>
              <w:t>Yulong Ying</w:t>
            </w:r>
            <w:r>
              <w:rPr>
                <w:rFonts w:hint="eastAsia"/>
                <w:color w:val="000000"/>
                <w:szCs w:val="21"/>
              </w:rPr>
              <w:t>（应雨龙）</w:t>
            </w:r>
          </w:p>
        </w:tc>
        <w:tc>
          <w:tcPr>
            <w:tcW w:w="1093" w:type="dxa"/>
            <w:vAlign w:val="center"/>
          </w:tcPr>
          <w:p>
            <w:pPr>
              <w:spacing w:line="220" w:lineRule="exact"/>
              <w:jc w:val="center"/>
              <w:rPr>
                <w:color w:val="000000"/>
                <w:szCs w:val="21"/>
              </w:rPr>
            </w:pPr>
            <w:r>
              <w:rPr>
                <w:color w:val="000000"/>
                <w:szCs w:val="21"/>
              </w:rPr>
              <w:t>是</w:t>
            </w:r>
            <w:r>
              <w:rPr>
                <w:rFonts w:hint="eastAsia"/>
                <w:color w:val="000000"/>
                <w:szCs w:val="21"/>
              </w:rPr>
              <w:t>（</w:t>
            </w:r>
            <w:r>
              <w:rPr>
                <w:color w:val="000000"/>
                <w:szCs w:val="21"/>
              </w:rPr>
              <w:t>ESI高被引</w:t>
            </w:r>
            <w:r>
              <w:rPr>
                <w:rFonts w:hint="eastAsia"/>
                <w:color w:val="000000"/>
                <w:szCs w:val="21"/>
              </w:rPr>
              <w:t>）</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1</w:t>
            </w:r>
            <w:r>
              <w:rPr>
                <w:rFonts w:ascii="仿宋_GB2312" w:hAnsi="仿宋" w:eastAsia="仿宋_GB2312"/>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07" w:hRule="atLeast"/>
        </w:trPr>
        <w:tc>
          <w:tcPr>
            <w:tcW w:w="762" w:type="dxa"/>
            <w:vAlign w:val="center"/>
          </w:tcPr>
          <w:p>
            <w:pPr>
              <w:spacing w:line="220" w:lineRule="exact"/>
              <w:jc w:val="center"/>
              <w:rPr>
                <w:color w:val="000000"/>
                <w:szCs w:val="21"/>
              </w:rPr>
            </w:pPr>
            <w:r>
              <w:rPr>
                <w:rFonts w:hint="eastAsia"/>
                <w:color w:val="000000"/>
                <w:szCs w:val="21"/>
              </w:rPr>
              <w:t>2</w:t>
            </w:r>
          </w:p>
        </w:tc>
        <w:tc>
          <w:tcPr>
            <w:tcW w:w="6215" w:type="dxa"/>
            <w:vAlign w:val="center"/>
          </w:tcPr>
          <w:p>
            <w:pPr>
              <w:spacing w:line="220" w:lineRule="exact"/>
              <w:rPr>
                <w:color w:val="000000"/>
                <w:szCs w:val="21"/>
              </w:rPr>
            </w:pPr>
            <w:r>
              <w:fldChar w:fldCharType="begin"/>
            </w:r>
            <w:r>
              <w:instrText xml:space="preserve"> HYPERLINK "https://www.researchgate.net/profile/Yulong_Ying?_iepl%5BviewId%5D=S069OYW1BgQ5njzqePhF6BWOrBIbwJ4H7iCw&amp;_iepl%5Bcontexts%5D%5B0%5D=prfhpi&amp;_iepl%5Bdata%5D%5BstandardItemCount%5D=2&amp;_iepl%5Bdata%5D%5BuserSelectedItemCount%5D=0&amp;_iepl%5Bdata%5D%5BtopHighlightCount%5D=2&amp;_iepl%5Bdata%5D%5BtopHighlightIndex%5D=2&amp;_iepl%5Bdata%5D%5BfeaturedItem1of2%5D=1&amp;_iepl%5BtargetEntityId%5D=PB%3A321341667&amp;_iepl%5BinteractionType%5D=publicationViewCoAuthorProfile" </w:instrText>
            </w:r>
            <w:r>
              <w:fldChar w:fldCharType="separate"/>
            </w:r>
            <w:r>
              <w:rPr>
                <w:color w:val="000000"/>
                <w:szCs w:val="21"/>
              </w:rPr>
              <w:t>Yulong Ying</w:t>
            </w:r>
            <w:r>
              <w:rPr>
                <w:color w:val="000000"/>
                <w:szCs w:val="21"/>
              </w:rPr>
              <w:fldChar w:fldCharType="end"/>
            </w:r>
            <w:r>
              <w:rPr>
                <w:color w:val="000000"/>
                <w:szCs w:val="21"/>
              </w:rPr>
              <w:t xml:space="preserve">, </w:t>
            </w:r>
            <w:r>
              <w:fldChar w:fldCharType="begin"/>
            </w:r>
            <w:r>
              <w:instrText xml:space="preserve"> HYPERLINK "https://www.researchgate.net/profile/Jingchao_Li8?_iepl%5BviewId%5D=S069OYW1BgQ5njzqePhF6BWOrBIbwJ4H7iCw&amp;_iepl%5Bcontexts%5D%5B0%5D=prfhpi&amp;_iepl%5Bdata%5D%5BstandardItemCount%5D=2&amp;_iepl%5Bdata%5D%5BuserSelectedItemCount%5D=0&amp;_iepl%5Bdata%5D%5BtopHighlightCount%5D=2&amp;_iepl%5Bdata%5D%5BtopHighlightIndex%5D=2&amp;_iepl%5Bdata%5D%5BfeaturedItem1of2%5D=1&amp;_iepl%5BtargetEntityId%5D=PB%3A321341667&amp;_iepl%5BinteractionType%5D=publicationViewCoAuthorProfile" </w:instrText>
            </w:r>
            <w:r>
              <w:fldChar w:fldCharType="separate"/>
            </w:r>
            <w:r>
              <w:rPr>
                <w:color w:val="000000"/>
                <w:szCs w:val="21"/>
              </w:rPr>
              <w:t>Jingchao Li</w:t>
            </w:r>
            <w:r>
              <w:rPr>
                <w:color w:val="000000"/>
                <w:szCs w:val="21"/>
              </w:rPr>
              <w:fldChar w:fldCharType="end"/>
            </w:r>
            <w:r>
              <w:rPr>
                <w:color w:val="000000"/>
                <w:szCs w:val="21"/>
              </w:rPr>
              <w:t xml:space="preserve">, </w:t>
            </w:r>
            <w:r>
              <w:fldChar w:fldCharType="begin"/>
            </w:r>
            <w:r>
              <w:instrText xml:space="preserve"> HYPERLINK "https://www.researchgate.net/scientific-contributions/2131574988_Zhimin_Chen?_iepl%5BviewId%5D=S069OYW1BgQ5njzqePhF6BWOrBIbwJ4H7iCw&amp;_iepl%5Bcontexts%5D%5B0%5D=prfhpi&amp;_iepl%5Bdata%5D%5BstandardItemCount%5D=2&amp;_iepl%5Bdata%5D%5BuserSelectedItemCount%5D=0&amp;_iepl%5Bdata%5D%5BtopHighlightCount%5D=2&amp;_iepl%5Bdata%5D%5BtopHighlightIndex%5D=2&amp;_iepl%5Bdata%5D%5BfeaturedItem1of2%5D=1&amp;_iepl%5BtargetEntityId%5D=PB%3A321341667&amp;_iepl%5BinteractionType%5D=publicationViewCoAuthorProfile" </w:instrText>
            </w:r>
            <w:r>
              <w:fldChar w:fldCharType="separate"/>
            </w:r>
            <w:r>
              <w:rPr>
                <w:color w:val="000000"/>
                <w:szCs w:val="21"/>
              </w:rPr>
              <w:t>Zhimin Chen</w:t>
            </w:r>
            <w:r>
              <w:rPr>
                <w:color w:val="000000"/>
                <w:szCs w:val="21"/>
              </w:rPr>
              <w:fldChar w:fldCharType="end"/>
            </w:r>
            <w:r>
              <w:rPr>
                <w:color w:val="000000"/>
                <w:szCs w:val="21"/>
              </w:rPr>
              <w:t xml:space="preserve">, </w:t>
            </w:r>
            <w:r>
              <w:fldChar w:fldCharType="begin"/>
            </w:r>
            <w:r>
              <w:instrText xml:space="preserve"> HYPERLINK "https://www.researchgate.net/scientific-contributions/2135734371_Jian_Guo?_iepl%5BviewId%5D=S069OYW1BgQ5njzqePhF6BWOrBIbwJ4H7iCw&amp;_iepl%5Bcontexts%5D%5B0%5D=prfhpi&amp;_iepl%5Bdata%5D%5BstandardItemCount%5D=2&amp;_iepl%5Bdata%5D%5BuserSelectedItemCount%5D=0&amp;_iepl%5Bdata%5D%5BtopHighlightCount%5D=2&amp;_iepl%5Bdata%5D%5BtopHighlightIndex%5D=2&amp;_iepl%5Bdata%5D%5BfeaturedItem1of2%5D=1&amp;_iepl%5BtargetEntityId%5D=PB%3A321341667&amp;_iepl%5BinteractionType%5D=publicationViewCoAuthorProfile" </w:instrText>
            </w:r>
            <w:r>
              <w:fldChar w:fldCharType="separate"/>
            </w:r>
            <w:r>
              <w:rPr>
                <w:color w:val="000000"/>
                <w:szCs w:val="21"/>
              </w:rPr>
              <w:t>Jian Guo</w:t>
            </w:r>
            <w:r>
              <w:rPr>
                <w:color w:val="000000"/>
                <w:szCs w:val="21"/>
              </w:rPr>
              <w:fldChar w:fldCharType="end"/>
            </w:r>
            <w:r>
              <w:rPr>
                <w:color w:val="000000"/>
                <w:szCs w:val="21"/>
              </w:rPr>
              <w:t xml:space="preserve">. </w:t>
            </w:r>
            <w:r>
              <w:fldChar w:fldCharType="begin"/>
            </w:r>
            <w:r>
              <w:instrText xml:space="preserve"> HYPERLINK "https://www.researchgate.net/publication/321341667_Study_on_rolling_bearing_on-line_reliability_analysis_based_on_vibration_information_processing?_iepl%5BviewId%5D=S069OYW1BgQ5njzqePhF6BWOrBIbwJ4H7iCw&amp;_iepl%5Bcontexts%5D%5B0%5D=prfhpi&amp;_iepl%5Bdata%5D%5BstandardItemCount%5D=2&amp;_iepl%5Bdata%5D%5BuserSelectedItemCount%5D=0&amp;_iepl%5Bdata%5D%5BtopHighlightCount%5D=2&amp;_iepl%5Bdata%5D%5BtopHighlightIndex%5D=2&amp;_iepl%5Bdata%5D%5BfeaturedItem1of2%5D=1&amp;_iepl%5BtargetEntityId%5D=PB%3A321341667&amp;_iepl%5BinteractionType%5D=publicationTitle" </w:instrText>
            </w:r>
            <w:r>
              <w:fldChar w:fldCharType="separate"/>
            </w:r>
            <w:r>
              <w:rPr>
                <w:color w:val="000000"/>
                <w:szCs w:val="21"/>
              </w:rPr>
              <w:t>Study on rolling bearing on-line reliability analysis based on vibration information processing</w:t>
            </w:r>
            <w:r>
              <w:rPr>
                <w:color w:val="000000"/>
                <w:szCs w:val="21"/>
              </w:rPr>
              <w:fldChar w:fldCharType="end"/>
            </w:r>
            <w:r>
              <w:rPr>
                <w:color w:val="000000"/>
                <w:szCs w:val="21"/>
              </w:rPr>
              <w:t>[J]. Computers &amp; Electrical Engineering, July 2018(69):842-851.</w:t>
            </w:r>
          </w:p>
        </w:tc>
        <w:tc>
          <w:tcPr>
            <w:tcW w:w="1161" w:type="dxa"/>
          </w:tcPr>
          <w:p>
            <w:pPr>
              <w:spacing w:line="220" w:lineRule="exact"/>
              <w:jc w:val="center"/>
              <w:rPr>
                <w:color w:val="000000"/>
                <w:szCs w:val="21"/>
              </w:rPr>
            </w:pPr>
            <w:r>
              <w:fldChar w:fldCharType="begin"/>
            </w:r>
            <w:r>
              <w:instrText xml:space="preserve"> HYPERLINK "https://www.researchgate.net/profile/Jingchao_Li8?_iepl%5BviewId%5D=S069OYW1BgQ5njzqePhF6BWOrBIbwJ4H7iCw&amp;_iepl%5Bcontexts%5D%5B0%5D=prfhpi&amp;_iepl%5Bdata%5D%5BstandardItemCount%5D=2&amp;_iepl%5Bdata%5D%5BuserSelectedItemCount%5D=0&amp;_iepl%5Bdata%5D%5BtopHighlightCount%5D=2&amp;_iepl%5Bdata%5D%5BtopHighlightIndex%5D=2&amp;_iepl%5Bdata%5D%5BfeaturedItem1of2%5D=1&amp;_iepl%5BtargetEntityId%5D=PB%3A321341667&amp;_iepl%5BinteractionType%5D=publicationViewCoAuthorProfile" </w:instrText>
            </w:r>
            <w:r>
              <w:fldChar w:fldCharType="separate"/>
            </w:r>
            <w:r>
              <w:rPr>
                <w:color w:val="000000"/>
                <w:szCs w:val="21"/>
              </w:rPr>
              <w:t>Jingchao Li</w:t>
            </w:r>
            <w:r>
              <w:rPr>
                <w:color w:val="000000"/>
                <w:szCs w:val="21"/>
              </w:rPr>
              <w:fldChar w:fldCharType="end"/>
            </w:r>
            <w:r>
              <w:rPr>
                <w:rFonts w:hint="eastAsia"/>
                <w:color w:val="000000"/>
                <w:szCs w:val="21"/>
              </w:rPr>
              <w:t>（李靖超）</w:t>
            </w:r>
          </w:p>
        </w:tc>
        <w:tc>
          <w:tcPr>
            <w:tcW w:w="1093" w:type="dxa"/>
            <w:vAlign w:val="center"/>
          </w:tcPr>
          <w:p>
            <w:pPr>
              <w:spacing w:line="220" w:lineRule="exact"/>
              <w:jc w:val="center"/>
              <w:rPr>
                <w:color w:val="000000"/>
                <w:szCs w:val="21"/>
              </w:rPr>
            </w:pPr>
            <w:r>
              <w:rPr>
                <w:color w:val="000000"/>
                <w:szCs w:val="21"/>
              </w:rPr>
              <w:t>是</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49" w:hRule="atLeast"/>
        </w:trPr>
        <w:tc>
          <w:tcPr>
            <w:tcW w:w="762" w:type="dxa"/>
            <w:vAlign w:val="center"/>
          </w:tcPr>
          <w:p>
            <w:pPr>
              <w:spacing w:line="220" w:lineRule="exact"/>
              <w:jc w:val="center"/>
              <w:rPr>
                <w:color w:val="000000"/>
                <w:szCs w:val="21"/>
              </w:rPr>
            </w:pPr>
            <w:r>
              <w:rPr>
                <w:rFonts w:hint="eastAsia"/>
                <w:color w:val="000000"/>
                <w:szCs w:val="21"/>
              </w:rPr>
              <w:t>3</w:t>
            </w:r>
          </w:p>
        </w:tc>
        <w:tc>
          <w:tcPr>
            <w:tcW w:w="6215" w:type="dxa"/>
            <w:vAlign w:val="center"/>
          </w:tcPr>
          <w:p>
            <w:pPr>
              <w:spacing w:line="220" w:lineRule="exact"/>
              <w:rPr>
                <w:color w:val="000000"/>
                <w:szCs w:val="21"/>
              </w:rPr>
            </w:pPr>
            <w:r>
              <w:rPr>
                <w:color w:val="000000"/>
                <w:szCs w:val="21"/>
              </w:rPr>
              <w:t>Yulong Ying, Yunpeng Cao, Shuying Li, Jingchao Li, and Jian Guo. Study on gas turbine engine fault diagnostic approach with a hybrid of gray relation theory and gas-path analysis[J]. Advances in Mechanical Engineering, 2016, 8(1): 1-14.</w:t>
            </w:r>
          </w:p>
        </w:tc>
        <w:tc>
          <w:tcPr>
            <w:tcW w:w="1161" w:type="dxa"/>
          </w:tcPr>
          <w:p>
            <w:pPr>
              <w:spacing w:line="220" w:lineRule="exact"/>
              <w:jc w:val="center"/>
              <w:rPr>
                <w:color w:val="000000"/>
                <w:szCs w:val="21"/>
              </w:rPr>
            </w:pPr>
            <w:r>
              <w:fldChar w:fldCharType="begin"/>
            </w:r>
            <w:r>
              <w:instrText xml:space="preserve"> HYPERLINK "https://www.researchgate.net/profile/Jingchao_Li8?_iepl%5BviewId%5D=S069OYW1BgQ5njzqePhF6BWOrBIbwJ4H7iCw&amp;_iepl%5Bcontexts%5D%5B0%5D=prfhpi&amp;_iepl%5Bdata%5D%5BstandardItemCount%5D=2&amp;_iepl%5Bdata%5D%5BuserSelectedItemCount%5D=0&amp;_iepl%5Bdata%5D%5BtopHighlightCount%5D=2&amp;_iepl%5Bdata%5D%5BtopHighlightIndex%5D=2&amp;_iepl%5Bdata%5D%5BfeaturedItem1of2%5D=1&amp;_iepl%5BtargetEntityId%5D=PB%3A321341667&amp;_iepl%5BinteractionType%5D=publicationViewCoAuthorProfile" </w:instrText>
            </w:r>
            <w:r>
              <w:fldChar w:fldCharType="separate"/>
            </w:r>
            <w:r>
              <w:rPr>
                <w:color w:val="000000"/>
                <w:szCs w:val="21"/>
              </w:rPr>
              <w:t>Jingchao Li</w:t>
            </w:r>
            <w:r>
              <w:rPr>
                <w:color w:val="000000"/>
                <w:szCs w:val="21"/>
              </w:rPr>
              <w:fldChar w:fldCharType="end"/>
            </w:r>
            <w:r>
              <w:rPr>
                <w:rFonts w:hint="eastAsia"/>
                <w:color w:val="000000"/>
                <w:szCs w:val="21"/>
              </w:rPr>
              <w:t>（李靖超）</w:t>
            </w:r>
          </w:p>
        </w:tc>
        <w:tc>
          <w:tcPr>
            <w:tcW w:w="1093" w:type="dxa"/>
            <w:vAlign w:val="center"/>
          </w:tcPr>
          <w:p>
            <w:pPr>
              <w:spacing w:line="220" w:lineRule="exact"/>
              <w:jc w:val="center"/>
              <w:rPr>
                <w:color w:val="000000"/>
                <w:szCs w:val="21"/>
              </w:rPr>
            </w:pPr>
            <w:r>
              <w:rPr>
                <w:color w:val="000000"/>
                <w:szCs w:val="21"/>
              </w:rPr>
              <w:t>是</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2</w:t>
            </w:r>
            <w:r>
              <w:rPr>
                <w:rFonts w:ascii="仿宋_GB2312" w:hAnsi="仿宋" w:eastAsia="仿宋_GB2312"/>
                <w:sz w:val="18"/>
                <w:szCs w:val="1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trPr>
        <w:tc>
          <w:tcPr>
            <w:tcW w:w="762" w:type="dxa"/>
            <w:vAlign w:val="center"/>
          </w:tcPr>
          <w:p>
            <w:pPr>
              <w:spacing w:line="220" w:lineRule="exact"/>
              <w:jc w:val="center"/>
              <w:rPr>
                <w:color w:val="000000"/>
                <w:szCs w:val="21"/>
              </w:rPr>
            </w:pPr>
            <w:r>
              <w:rPr>
                <w:color w:val="000000"/>
                <w:szCs w:val="21"/>
              </w:rPr>
              <w:t>4</w:t>
            </w:r>
          </w:p>
        </w:tc>
        <w:tc>
          <w:tcPr>
            <w:tcW w:w="6215" w:type="dxa"/>
            <w:vAlign w:val="center"/>
          </w:tcPr>
          <w:p>
            <w:pPr>
              <w:spacing w:line="220" w:lineRule="exact"/>
              <w:rPr>
                <w:color w:val="000000"/>
                <w:szCs w:val="21"/>
              </w:rPr>
            </w:pPr>
            <w:r>
              <w:rPr>
                <w:color w:val="000000"/>
                <w:szCs w:val="21"/>
              </w:rPr>
              <w:t xml:space="preserve">Jingchao Li, Dongyuan Bi, Yulong Ying, et al.  </w:t>
            </w:r>
            <w:r>
              <w:fldChar w:fldCharType="begin"/>
            </w:r>
            <w:r>
              <w:instrText xml:space="preserve"> HYPERLINK "https://www.researchgate.net/publication/331278931_An_Improved_Algorithm_for_Extracting_Subtle_Features_of_Radiation_Source_Individual_Signals?_sg=9I7jJmk7GwhOhskpJ-GCrP3XA9zIa2DAvpG36b0UOhxxXWLFf8kl1K3_XVfoJdpxG3ok3ReEnYDgyz5EiNrMPUESQhrXSsvuAYmYzdOv.0e4pC0RoPy0bId2SeA6qAS2JGPY4z_ByGcAdP4VKd6NFfLzXWb7vaCpnOJ0UxiQBDCfqvp_7hvbIAw_cO0eoZA" </w:instrText>
            </w:r>
            <w:r>
              <w:fldChar w:fldCharType="separate"/>
            </w:r>
            <w:r>
              <w:rPr>
                <w:color w:val="000000"/>
                <w:szCs w:val="21"/>
              </w:rPr>
              <w:t>An Improved Algorithm for Extracting Subtle Features of Radiation Source Individual Signals</w:t>
            </w:r>
            <w:r>
              <w:rPr>
                <w:color w:val="000000"/>
                <w:szCs w:val="21"/>
              </w:rPr>
              <w:fldChar w:fldCharType="end"/>
            </w:r>
            <w:r>
              <w:rPr>
                <w:color w:val="000000"/>
                <w:szCs w:val="21"/>
              </w:rPr>
              <w:t>[J]. Electronics, February</w:t>
            </w:r>
            <w:r>
              <w:rPr>
                <w:rFonts w:hint="eastAsia"/>
                <w:color w:val="000000"/>
                <w:szCs w:val="21"/>
              </w:rPr>
              <w:t>,</w:t>
            </w:r>
            <w:r>
              <w:rPr>
                <w:color w:val="000000"/>
                <w:szCs w:val="21"/>
              </w:rPr>
              <w:t xml:space="preserve"> 2019, 8(2): 246.</w:t>
            </w:r>
          </w:p>
        </w:tc>
        <w:tc>
          <w:tcPr>
            <w:tcW w:w="1161" w:type="dxa"/>
          </w:tcPr>
          <w:p>
            <w:pPr>
              <w:spacing w:line="220" w:lineRule="exact"/>
              <w:jc w:val="center"/>
              <w:rPr>
                <w:color w:val="000000"/>
                <w:szCs w:val="21"/>
              </w:rPr>
            </w:pPr>
            <w:r>
              <w:rPr>
                <w:color w:val="000000"/>
                <w:szCs w:val="21"/>
              </w:rPr>
              <w:t>Yulong Ying</w:t>
            </w:r>
            <w:r>
              <w:rPr>
                <w:rFonts w:hint="eastAsia"/>
                <w:color w:val="000000"/>
                <w:szCs w:val="21"/>
              </w:rPr>
              <w:t>（应雨龙）</w:t>
            </w:r>
          </w:p>
        </w:tc>
        <w:tc>
          <w:tcPr>
            <w:tcW w:w="1093" w:type="dxa"/>
            <w:vAlign w:val="center"/>
          </w:tcPr>
          <w:p>
            <w:pPr>
              <w:spacing w:line="220" w:lineRule="exact"/>
              <w:jc w:val="center"/>
              <w:rPr>
                <w:color w:val="000000"/>
                <w:szCs w:val="21"/>
              </w:rPr>
            </w:pPr>
            <w:r>
              <w:rPr>
                <w:color w:val="000000"/>
                <w:szCs w:val="21"/>
              </w:rPr>
              <w:t>是</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trPr>
        <w:tc>
          <w:tcPr>
            <w:tcW w:w="762" w:type="dxa"/>
            <w:vAlign w:val="center"/>
          </w:tcPr>
          <w:p>
            <w:pPr>
              <w:spacing w:line="220" w:lineRule="exact"/>
              <w:jc w:val="center"/>
              <w:rPr>
                <w:color w:val="000000"/>
                <w:szCs w:val="21"/>
              </w:rPr>
            </w:pPr>
            <w:r>
              <w:rPr>
                <w:color w:val="000000"/>
                <w:szCs w:val="21"/>
              </w:rPr>
              <w:t>5</w:t>
            </w:r>
          </w:p>
        </w:tc>
        <w:tc>
          <w:tcPr>
            <w:tcW w:w="6215" w:type="dxa"/>
            <w:vAlign w:val="center"/>
          </w:tcPr>
          <w:p>
            <w:pPr>
              <w:spacing w:line="220" w:lineRule="exact"/>
              <w:rPr>
                <w:color w:val="000000"/>
                <w:szCs w:val="21"/>
              </w:rPr>
            </w:pPr>
            <w:r>
              <w:rPr>
                <w:color w:val="000000"/>
                <w:szCs w:val="21"/>
              </w:rPr>
              <w:t xml:space="preserve">Jingchao Li, Yulong Ying, Xingdan Lou, et al. Integrated Energy System Optimization based on Standardized Matrix Modeling Method[J]. </w:t>
            </w:r>
            <w:r>
              <w:fldChar w:fldCharType="begin"/>
            </w:r>
            <w:r>
              <w:instrText xml:space="preserve"> HYPERLINK "http://www.letpub.com.cn/index.php?page=journalapp&amp;view=detail&amp;journalid=9954" </w:instrText>
            </w:r>
            <w:r>
              <w:fldChar w:fldCharType="separate"/>
            </w:r>
            <w:r>
              <w:rPr>
                <w:color w:val="000000"/>
                <w:szCs w:val="21"/>
              </w:rPr>
              <w:t>Applied Sciences</w:t>
            </w:r>
            <w:r>
              <w:rPr>
                <w:color w:val="000000"/>
                <w:szCs w:val="21"/>
              </w:rPr>
              <w:fldChar w:fldCharType="end"/>
            </w:r>
            <w:r>
              <w:rPr>
                <w:color w:val="000000"/>
                <w:szCs w:val="21"/>
              </w:rPr>
              <w:t>, November 2018, 8(12):2372.</w:t>
            </w:r>
          </w:p>
        </w:tc>
        <w:tc>
          <w:tcPr>
            <w:tcW w:w="1161" w:type="dxa"/>
          </w:tcPr>
          <w:p>
            <w:pPr>
              <w:spacing w:line="220" w:lineRule="exact"/>
              <w:jc w:val="center"/>
              <w:rPr>
                <w:color w:val="000000"/>
                <w:szCs w:val="21"/>
              </w:rPr>
            </w:pPr>
            <w:r>
              <w:rPr>
                <w:color w:val="000000"/>
                <w:szCs w:val="21"/>
              </w:rPr>
              <w:t>Yulong Ying</w:t>
            </w:r>
            <w:r>
              <w:rPr>
                <w:rFonts w:hint="eastAsia"/>
                <w:color w:val="000000"/>
                <w:szCs w:val="21"/>
              </w:rPr>
              <w:t>（应雨龙）</w:t>
            </w:r>
          </w:p>
        </w:tc>
        <w:tc>
          <w:tcPr>
            <w:tcW w:w="1093" w:type="dxa"/>
            <w:vAlign w:val="center"/>
          </w:tcPr>
          <w:p>
            <w:pPr>
              <w:spacing w:line="220" w:lineRule="exact"/>
              <w:jc w:val="center"/>
              <w:rPr>
                <w:color w:val="000000"/>
                <w:szCs w:val="21"/>
              </w:rPr>
            </w:pPr>
            <w:r>
              <w:rPr>
                <w:color w:val="000000"/>
                <w:szCs w:val="21"/>
              </w:rPr>
              <w:t>是</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trPr>
        <w:tc>
          <w:tcPr>
            <w:tcW w:w="762" w:type="dxa"/>
            <w:vAlign w:val="center"/>
          </w:tcPr>
          <w:p>
            <w:pPr>
              <w:spacing w:line="220" w:lineRule="exact"/>
              <w:jc w:val="center"/>
              <w:rPr>
                <w:color w:val="000000"/>
                <w:szCs w:val="21"/>
              </w:rPr>
            </w:pPr>
            <w:r>
              <w:rPr>
                <w:color w:val="000000"/>
                <w:szCs w:val="21"/>
              </w:rPr>
              <w:t>6</w:t>
            </w:r>
          </w:p>
        </w:tc>
        <w:tc>
          <w:tcPr>
            <w:tcW w:w="6215" w:type="dxa"/>
            <w:vAlign w:val="center"/>
          </w:tcPr>
          <w:p>
            <w:pPr>
              <w:spacing w:line="220" w:lineRule="exact"/>
              <w:rPr>
                <w:color w:val="000000"/>
                <w:szCs w:val="21"/>
              </w:rPr>
            </w:pPr>
            <w:r>
              <w:rPr>
                <w:rFonts w:hint="eastAsia"/>
                <w:color w:val="000000"/>
                <w:szCs w:val="21"/>
              </w:rPr>
              <w:t xml:space="preserve">Jingchao Li. </w:t>
            </w:r>
            <w:r>
              <w:rPr>
                <w:color w:val="000000"/>
                <w:szCs w:val="21"/>
              </w:rPr>
              <w:t>A New Robust Signal Recognition Approach Based on Holder Cloud Features under Varying</w:t>
            </w:r>
            <w:r>
              <w:rPr>
                <w:rFonts w:hint="eastAsia"/>
                <w:color w:val="000000"/>
                <w:szCs w:val="21"/>
              </w:rPr>
              <w:t xml:space="preserve"> </w:t>
            </w:r>
            <w:r>
              <w:rPr>
                <w:color w:val="000000"/>
                <w:szCs w:val="21"/>
              </w:rPr>
              <w:t>SNR Environment</w:t>
            </w:r>
            <w:r>
              <w:rPr>
                <w:rFonts w:hint="eastAsia"/>
                <w:color w:val="000000"/>
                <w:szCs w:val="21"/>
              </w:rPr>
              <w:t xml:space="preserve">[J]. </w:t>
            </w:r>
            <w:r>
              <w:rPr>
                <w:color w:val="000000"/>
                <w:szCs w:val="21"/>
              </w:rPr>
              <w:t>KSII T</w:t>
            </w:r>
            <w:r>
              <w:rPr>
                <w:rFonts w:hint="eastAsia"/>
                <w:color w:val="000000"/>
                <w:szCs w:val="21"/>
              </w:rPr>
              <w:t xml:space="preserve">ransactions on Internet and </w:t>
            </w:r>
            <w:r>
              <w:rPr>
                <w:color w:val="000000"/>
                <w:szCs w:val="21"/>
              </w:rPr>
              <w:t>I</w:t>
            </w:r>
            <w:r>
              <w:rPr>
                <w:rFonts w:hint="eastAsia"/>
                <w:color w:val="000000"/>
                <w:szCs w:val="21"/>
              </w:rPr>
              <w:t xml:space="preserve">nformation Systems, </w:t>
            </w:r>
            <w:r>
              <w:rPr>
                <w:color w:val="000000"/>
                <w:szCs w:val="21"/>
              </w:rPr>
              <w:t>9(12), pp.4934</w:t>
            </w:r>
            <w:r>
              <w:rPr>
                <w:rFonts w:hint="eastAsia"/>
                <w:color w:val="000000"/>
                <w:szCs w:val="21"/>
              </w:rPr>
              <w:t>-</w:t>
            </w:r>
            <w:r>
              <w:rPr>
                <w:color w:val="000000"/>
                <w:szCs w:val="21"/>
              </w:rPr>
              <w:t>4949</w:t>
            </w:r>
            <w:r>
              <w:rPr>
                <w:rFonts w:hint="eastAsia"/>
                <w:color w:val="000000"/>
                <w:szCs w:val="21"/>
              </w:rPr>
              <w:t>,</w:t>
            </w:r>
            <w:r>
              <w:rPr>
                <w:color w:val="000000"/>
                <w:szCs w:val="21"/>
              </w:rPr>
              <w:t xml:space="preserve"> </w:t>
            </w:r>
            <w:r>
              <w:rPr>
                <w:rFonts w:hint="eastAsia"/>
                <w:color w:val="000000"/>
                <w:szCs w:val="21"/>
              </w:rPr>
              <w:t>2015. 12.31</w:t>
            </w:r>
          </w:p>
        </w:tc>
        <w:tc>
          <w:tcPr>
            <w:tcW w:w="1161" w:type="dxa"/>
          </w:tcPr>
          <w:p>
            <w:pPr>
              <w:spacing w:line="220" w:lineRule="exact"/>
              <w:jc w:val="center"/>
              <w:rPr>
                <w:color w:val="000000"/>
                <w:szCs w:val="21"/>
              </w:rPr>
            </w:pPr>
            <w:r>
              <w:fldChar w:fldCharType="begin"/>
            </w:r>
            <w:r>
              <w:instrText xml:space="preserve"> HYPERLINK "https://www.researchgate.net/profile/Jingchao_Li8?_iepl%5BviewId%5D=S069OYW1BgQ5njzqePhF6BWOrBIbwJ4H7iCw&amp;_iepl%5Bcontexts%5D%5B0%5D=prfhpi&amp;_iepl%5Bdata%5D%5BstandardItemCount%5D=2&amp;_iepl%5Bdata%5D%5BuserSelectedItemCount%5D=0&amp;_iepl%5Bdata%5D%5BtopHighlightCount%5D=2&amp;_iepl%5Bdata%5D%5BtopHighlightIndex%5D=2&amp;_iepl%5Bdata%5D%5BfeaturedItem1of2%5D=1&amp;_iepl%5BtargetEntityId%5D=PB%3A321341667&amp;_iepl%5BinteractionType%5D=publicationViewCoAuthorProfile" </w:instrText>
            </w:r>
            <w:r>
              <w:fldChar w:fldCharType="separate"/>
            </w:r>
            <w:r>
              <w:rPr>
                <w:color w:val="000000"/>
                <w:szCs w:val="21"/>
              </w:rPr>
              <w:t>Jingchao Li</w:t>
            </w:r>
            <w:r>
              <w:rPr>
                <w:color w:val="000000"/>
                <w:szCs w:val="21"/>
              </w:rPr>
              <w:fldChar w:fldCharType="end"/>
            </w:r>
            <w:r>
              <w:rPr>
                <w:rFonts w:hint="eastAsia"/>
                <w:color w:val="000000"/>
                <w:szCs w:val="21"/>
              </w:rPr>
              <w:t>（李靖超）</w:t>
            </w:r>
          </w:p>
        </w:tc>
        <w:tc>
          <w:tcPr>
            <w:tcW w:w="1093" w:type="dxa"/>
            <w:vAlign w:val="center"/>
          </w:tcPr>
          <w:p>
            <w:pPr>
              <w:spacing w:line="220" w:lineRule="exact"/>
              <w:jc w:val="center"/>
              <w:rPr>
                <w:color w:val="000000"/>
                <w:szCs w:val="21"/>
              </w:rPr>
            </w:pPr>
            <w:r>
              <w:rPr>
                <w:color w:val="000000"/>
                <w:szCs w:val="21"/>
              </w:rPr>
              <w:t>是</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1</w:t>
            </w:r>
            <w:r>
              <w:rPr>
                <w:rFonts w:ascii="仿宋_GB2312" w:hAnsi="仿宋" w:eastAsia="仿宋_GB2312"/>
                <w:sz w:val="18"/>
                <w:szCs w:val="1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trPr>
        <w:tc>
          <w:tcPr>
            <w:tcW w:w="762" w:type="dxa"/>
            <w:vAlign w:val="center"/>
          </w:tcPr>
          <w:p>
            <w:pPr>
              <w:spacing w:line="220" w:lineRule="exact"/>
              <w:jc w:val="center"/>
              <w:rPr>
                <w:color w:val="000000"/>
                <w:szCs w:val="21"/>
              </w:rPr>
            </w:pPr>
            <w:r>
              <w:rPr>
                <w:color w:val="000000"/>
                <w:szCs w:val="21"/>
              </w:rPr>
              <w:t>7</w:t>
            </w:r>
          </w:p>
        </w:tc>
        <w:tc>
          <w:tcPr>
            <w:tcW w:w="6215" w:type="dxa"/>
            <w:vAlign w:val="center"/>
          </w:tcPr>
          <w:p>
            <w:pPr>
              <w:spacing w:line="220" w:lineRule="exact"/>
              <w:rPr>
                <w:color w:val="000000"/>
                <w:szCs w:val="21"/>
              </w:rPr>
            </w:pPr>
            <w:r>
              <w:rPr>
                <w:rFonts w:hint="eastAsia"/>
                <w:color w:val="000000"/>
                <w:szCs w:val="21"/>
              </w:rPr>
              <w:t>Jingchao Li,</w:t>
            </w:r>
            <w:r>
              <w:rPr>
                <w:color w:val="000000"/>
                <w:szCs w:val="21"/>
              </w:rPr>
              <w:t xml:space="preserve"> </w:t>
            </w:r>
            <w:r>
              <w:rPr>
                <w:rFonts w:hint="eastAsia"/>
                <w:color w:val="000000"/>
                <w:szCs w:val="21"/>
              </w:rPr>
              <w:t xml:space="preserve">Jian </w:t>
            </w:r>
            <w:r>
              <w:rPr>
                <w:color w:val="000000"/>
                <w:szCs w:val="21"/>
              </w:rPr>
              <w:t>Guo. A New Feature Extraction Algorithm Based on Entropy Cloud Characteristics of Communication Signals[J].</w:t>
            </w:r>
            <w:r>
              <w:rPr>
                <w:rFonts w:hint="eastAsia"/>
                <w:color w:val="000000"/>
                <w:szCs w:val="21"/>
              </w:rPr>
              <w:t xml:space="preserve"> </w:t>
            </w:r>
            <w:r>
              <w:rPr>
                <w:color w:val="000000"/>
                <w:szCs w:val="21"/>
              </w:rPr>
              <w:t>Mathematical Problems in Engineering</w:t>
            </w:r>
            <w:r>
              <w:rPr>
                <w:rFonts w:hint="eastAsia"/>
                <w:color w:val="000000"/>
                <w:szCs w:val="21"/>
              </w:rPr>
              <w:t>, 2015.</w:t>
            </w:r>
          </w:p>
        </w:tc>
        <w:tc>
          <w:tcPr>
            <w:tcW w:w="1161" w:type="dxa"/>
          </w:tcPr>
          <w:p>
            <w:pPr>
              <w:spacing w:line="220" w:lineRule="exact"/>
              <w:jc w:val="center"/>
              <w:rPr>
                <w:color w:val="000000"/>
                <w:szCs w:val="21"/>
              </w:rPr>
            </w:pPr>
            <w:r>
              <w:fldChar w:fldCharType="begin"/>
            </w:r>
            <w:r>
              <w:instrText xml:space="preserve"> HYPERLINK "https://www.researchgate.net/profile/Jingchao_Li8?_iepl%5BviewId%5D=S069OYW1BgQ5njzqePhF6BWOrBIbwJ4H7iCw&amp;_iepl%5Bcontexts%5D%5B0%5D=prfhpi&amp;_iepl%5Bdata%5D%5BstandardItemCount%5D=2&amp;_iepl%5Bdata%5D%5BuserSelectedItemCount%5D=0&amp;_iepl%5Bdata%5D%5BtopHighlightCount%5D=2&amp;_iepl%5Bdata%5D%5BtopHighlightIndex%5D=2&amp;_iepl%5Bdata%5D%5BfeaturedItem1of2%5D=1&amp;_iepl%5BtargetEntityId%5D=PB%3A321341667&amp;_iepl%5BinteractionType%5D=publicationViewCoAuthorProfile" </w:instrText>
            </w:r>
            <w:r>
              <w:fldChar w:fldCharType="separate"/>
            </w:r>
            <w:r>
              <w:rPr>
                <w:color w:val="000000"/>
                <w:szCs w:val="21"/>
              </w:rPr>
              <w:t>Jingchao Li</w:t>
            </w:r>
            <w:r>
              <w:rPr>
                <w:color w:val="000000"/>
                <w:szCs w:val="21"/>
              </w:rPr>
              <w:fldChar w:fldCharType="end"/>
            </w:r>
            <w:r>
              <w:rPr>
                <w:rFonts w:hint="eastAsia"/>
                <w:color w:val="000000"/>
                <w:szCs w:val="21"/>
              </w:rPr>
              <w:t>（李靖超）</w:t>
            </w:r>
          </w:p>
        </w:tc>
        <w:tc>
          <w:tcPr>
            <w:tcW w:w="1093" w:type="dxa"/>
            <w:vAlign w:val="center"/>
          </w:tcPr>
          <w:p>
            <w:pPr>
              <w:spacing w:line="220" w:lineRule="exact"/>
              <w:jc w:val="center"/>
              <w:rPr>
                <w:color w:val="000000"/>
                <w:szCs w:val="21"/>
              </w:rPr>
            </w:pPr>
            <w:r>
              <w:rPr>
                <w:color w:val="000000"/>
                <w:szCs w:val="21"/>
              </w:rPr>
              <w:t>是</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trPr>
        <w:tc>
          <w:tcPr>
            <w:tcW w:w="762" w:type="dxa"/>
            <w:vAlign w:val="center"/>
          </w:tcPr>
          <w:p>
            <w:pPr>
              <w:spacing w:line="220" w:lineRule="exact"/>
              <w:jc w:val="center"/>
              <w:rPr>
                <w:color w:val="000000"/>
                <w:szCs w:val="21"/>
              </w:rPr>
            </w:pPr>
            <w:r>
              <w:rPr>
                <w:color w:val="000000"/>
                <w:szCs w:val="21"/>
              </w:rPr>
              <w:t>8</w:t>
            </w:r>
          </w:p>
        </w:tc>
        <w:tc>
          <w:tcPr>
            <w:tcW w:w="6215" w:type="dxa"/>
            <w:vAlign w:val="center"/>
          </w:tcPr>
          <w:p>
            <w:pPr>
              <w:spacing w:line="220" w:lineRule="exact"/>
              <w:rPr>
                <w:color w:val="000000"/>
                <w:szCs w:val="21"/>
              </w:rPr>
            </w:pPr>
            <w:r>
              <w:rPr>
                <w:rFonts w:hint="eastAsia"/>
                <w:color w:val="000000"/>
                <w:szCs w:val="21"/>
              </w:rPr>
              <w:t xml:space="preserve">Jingchao Li. </w:t>
            </w:r>
            <w:r>
              <w:rPr>
                <w:color w:val="000000"/>
                <w:szCs w:val="21"/>
              </w:rPr>
              <w:t xml:space="preserve">A </w:t>
            </w:r>
            <w:r>
              <w:rPr>
                <w:rFonts w:hint="eastAsia"/>
                <w:color w:val="000000"/>
                <w:szCs w:val="21"/>
              </w:rPr>
              <w:t>Novel</w:t>
            </w:r>
            <w:r>
              <w:rPr>
                <w:color w:val="000000"/>
                <w:szCs w:val="21"/>
              </w:rPr>
              <w:t xml:space="preserve"> </w:t>
            </w:r>
            <w:r>
              <w:rPr>
                <w:rFonts w:hint="eastAsia"/>
                <w:color w:val="000000"/>
                <w:szCs w:val="21"/>
              </w:rPr>
              <w:t>R</w:t>
            </w:r>
            <w:r>
              <w:rPr>
                <w:color w:val="000000"/>
                <w:szCs w:val="21"/>
              </w:rPr>
              <w:t xml:space="preserve">ecognition </w:t>
            </w:r>
            <w:r>
              <w:rPr>
                <w:rFonts w:hint="eastAsia"/>
                <w:color w:val="000000"/>
                <w:szCs w:val="21"/>
              </w:rPr>
              <w:t>A</w:t>
            </w:r>
            <w:r>
              <w:rPr>
                <w:color w:val="000000"/>
                <w:szCs w:val="21"/>
              </w:rPr>
              <w:t xml:space="preserve">lgorithm </w:t>
            </w:r>
            <w:r>
              <w:rPr>
                <w:rFonts w:hint="eastAsia"/>
                <w:color w:val="000000"/>
                <w:szCs w:val="21"/>
              </w:rPr>
              <w:t xml:space="preserve">Based on Holder Coefficient Theory and Interval Gray Relation Classifier[J]. </w:t>
            </w:r>
            <w:r>
              <w:rPr>
                <w:color w:val="000000"/>
                <w:szCs w:val="21"/>
              </w:rPr>
              <w:t>KSII T</w:t>
            </w:r>
            <w:r>
              <w:rPr>
                <w:rFonts w:hint="eastAsia"/>
                <w:color w:val="000000"/>
                <w:szCs w:val="21"/>
              </w:rPr>
              <w:t xml:space="preserve">ransactions on Internet and </w:t>
            </w:r>
            <w:r>
              <w:rPr>
                <w:color w:val="000000"/>
                <w:szCs w:val="21"/>
              </w:rPr>
              <w:t>I</w:t>
            </w:r>
            <w:r>
              <w:rPr>
                <w:rFonts w:hint="eastAsia"/>
                <w:color w:val="000000"/>
                <w:szCs w:val="21"/>
              </w:rPr>
              <w:t xml:space="preserve">nformation Systems </w:t>
            </w:r>
            <w:r>
              <w:rPr>
                <w:color w:val="000000"/>
                <w:szCs w:val="21"/>
              </w:rPr>
              <w:t>(TIIS), 9(11), pp.4573-4584, 2015</w:t>
            </w:r>
            <w:r>
              <w:rPr>
                <w:rFonts w:hint="eastAsia"/>
                <w:color w:val="000000"/>
                <w:szCs w:val="21"/>
              </w:rPr>
              <w:t>.</w:t>
            </w:r>
          </w:p>
        </w:tc>
        <w:tc>
          <w:tcPr>
            <w:tcW w:w="1161" w:type="dxa"/>
          </w:tcPr>
          <w:p>
            <w:pPr>
              <w:spacing w:line="220" w:lineRule="exact"/>
              <w:jc w:val="center"/>
              <w:rPr>
                <w:color w:val="000000"/>
                <w:szCs w:val="21"/>
              </w:rPr>
            </w:pPr>
            <w:r>
              <w:fldChar w:fldCharType="begin"/>
            </w:r>
            <w:r>
              <w:instrText xml:space="preserve"> HYPERLINK "https://www.researchgate.net/profile/Jingchao_Li8?_iepl%5BviewId%5D=S069OYW1BgQ5njzqePhF6BWOrBIbwJ4H7iCw&amp;_iepl%5Bcontexts%5D%5B0%5D=prfhpi&amp;_iepl%5Bdata%5D%5BstandardItemCount%5D=2&amp;_iepl%5Bdata%5D%5BuserSelectedItemCount%5D=0&amp;_iepl%5Bdata%5D%5BtopHighlightCount%5D=2&amp;_iepl%5Bdata%5D%5BtopHighlightIndex%5D=2&amp;_iepl%5Bdata%5D%5BfeaturedItem1of2%5D=1&amp;_iepl%5BtargetEntityId%5D=PB%3A321341667&amp;_iepl%5BinteractionType%5D=publicationViewCoAuthorProfile" </w:instrText>
            </w:r>
            <w:r>
              <w:fldChar w:fldCharType="separate"/>
            </w:r>
            <w:r>
              <w:rPr>
                <w:color w:val="000000"/>
                <w:szCs w:val="21"/>
              </w:rPr>
              <w:t>Jingchao Li</w:t>
            </w:r>
            <w:r>
              <w:rPr>
                <w:color w:val="000000"/>
                <w:szCs w:val="21"/>
              </w:rPr>
              <w:fldChar w:fldCharType="end"/>
            </w:r>
            <w:r>
              <w:rPr>
                <w:rFonts w:hint="eastAsia"/>
                <w:color w:val="000000"/>
                <w:szCs w:val="21"/>
              </w:rPr>
              <w:t>（李靖超）</w:t>
            </w:r>
          </w:p>
        </w:tc>
        <w:tc>
          <w:tcPr>
            <w:tcW w:w="1093" w:type="dxa"/>
            <w:vAlign w:val="center"/>
          </w:tcPr>
          <w:p>
            <w:pPr>
              <w:spacing w:line="220" w:lineRule="exact"/>
              <w:jc w:val="center"/>
              <w:rPr>
                <w:color w:val="000000"/>
                <w:szCs w:val="21"/>
              </w:rPr>
            </w:pPr>
            <w:r>
              <w:rPr>
                <w:color w:val="000000"/>
                <w:szCs w:val="21"/>
              </w:rPr>
              <w:t>是</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1</w:t>
            </w:r>
            <w:r>
              <w:rPr>
                <w:rFonts w:ascii="仿宋_GB2312" w:hAnsi="仿宋" w:eastAsia="仿宋_GB2312"/>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trPr>
        <w:tc>
          <w:tcPr>
            <w:tcW w:w="762" w:type="dxa"/>
            <w:vAlign w:val="center"/>
          </w:tcPr>
          <w:p>
            <w:pPr>
              <w:spacing w:line="220" w:lineRule="exact"/>
              <w:jc w:val="center"/>
              <w:rPr>
                <w:color w:val="000000"/>
                <w:szCs w:val="21"/>
              </w:rPr>
            </w:pPr>
            <w:r>
              <w:rPr>
                <w:color w:val="000000"/>
                <w:szCs w:val="21"/>
              </w:rPr>
              <w:t>9</w:t>
            </w:r>
          </w:p>
        </w:tc>
        <w:tc>
          <w:tcPr>
            <w:tcW w:w="6215" w:type="dxa"/>
            <w:vAlign w:val="center"/>
          </w:tcPr>
          <w:p>
            <w:pPr>
              <w:spacing w:line="220" w:lineRule="exact"/>
              <w:rPr>
                <w:color w:val="000000"/>
                <w:szCs w:val="21"/>
              </w:rPr>
            </w:pPr>
            <w:r>
              <w:rPr>
                <w:color w:val="000000"/>
                <w:szCs w:val="21"/>
              </w:rPr>
              <w:t>Hui Han, Jingchao Li, Xiang Chen. The Individual Identification method of Wireless Device Based on A Robust dimensionality reduction model of Hybrid Feature Information, Mobile Networks and Applications, 23(4):709-716,2018.</w:t>
            </w:r>
          </w:p>
        </w:tc>
        <w:tc>
          <w:tcPr>
            <w:tcW w:w="1161" w:type="dxa"/>
          </w:tcPr>
          <w:p>
            <w:pPr>
              <w:spacing w:line="220" w:lineRule="exact"/>
              <w:jc w:val="center"/>
              <w:rPr>
                <w:color w:val="000000"/>
                <w:szCs w:val="21"/>
              </w:rPr>
            </w:pPr>
            <w:r>
              <w:fldChar w:fldCharType="begin"/>
            </w:r>
            <w:r>
              <w:instrText xml:space="preserve"> HYPERLINK "https://www.researchgate.net/profile/Jingchao_Li8?_iepl%5BviewId%5D=S069OYW1BgQ5njzqePhF6BWOrBIbwJ4H7iCw&amp;_iepl%5Bcontexts%5D%5B0%5D=prfhpi&amp;_iepl%5Bdata%5D%5BstandardItemCount%5D=2&amp;_iepl%5Bdata%5D%5BuserSelectedItemCount%5D=0&amp;_iepl%5Bdata%5D%5BtopHighlightCount%5D=2&amp;_iepl%5Bdata%5D%5BtopHighlightIndex%5D=2&amp;_iepl%5Bdata%5D%5BfeaturedItem1of2%5D=1&amp;_iepl%5BtargetEntityId%5D=PB%3A321341667&amp;_iepl%5BinteractionType%5D=publicationViewCoAuthorProfile" </w:instrText>
            </w:r>
            <w:r>
              <w:fldChar w:fldCharType="separate"/>
            </w:r>
            <w:r>
              <w:rPr>
                <w:color w:val="000000"/>
                <w:szCs w:val="21"/>
              </w:rPr>
              <w:t>Jingchao Li</w:t>
            </w:r>
            <w:r>
              <w:rPr>
                <w:color w:val="000000"/>
                <w:szCs w:val="21"/>
              </w:rPr>
              <w:fldChar w:fldCharType="end"/>
            </w:r>
            <w:r>
              <w:rPr>
                <w:rFonts w:hint="eastAsia"/>
                <w:color w:val="000000"/>
                <w:szCs w:val="21"/>
              </w:rPr>
              <w:t>（李靖超）</w:t>
            </w:r>
          </w:p>
        </w:tc>
        <w:tc>
          <w:tcPr>
            <w:tcW w:w="1093" w:type="dxa"/>
            <w:vAlign w:val="center"/>
          </w:tcPr>
          <w:p>
            <w:pPr>
              <w:spacing w:line="220" w:lineRule="exact"/>
              <w:jc w:val="center"/>
              <w:rPr>
                <w:color w:val="000000"/>
                <w:szCs w:val="21"/>
              </w:rPr>
            </w:pPr>
            <w:r>
              <w:rPr>
                <w:color w:val="000000"/>
                <w:szCs w:val="21"/>
              </w:rPr>
              <w:t>是</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trPr>
        <w:tc>
          <w:tcPr>
            <w:tcW w:w="762" w:type="dxa"/>
            <w:vAlign w:val="center"/>
          </w:tcPr>
          <w:p>
            <w:pPr>
              <w:spacing w:line="220" w:lineRule="exact"/>
              <w:jc w:val="center"/>
              <w:rPr>
                <w:color w:val="000000"/>
                <w:szCs w:val="21"/>
              </w:rPr>
            </w:pPr>
            <w:r>
              <w:rPr>
                <w:rFonts w:hint="eastAsia"/>
                <w:color w:val="000000"/>
                <w:szCs w:val="21"/>
              </w:rPr>
              <w:t>1</w:t>
            </w:r>
            <w:r>
              <w:rPr>
                <w:color w:val="000000"/>
                <w:szCs w:val="21"/>
              </w:rPr>
              <w:t>0</w:t>
            </w:r>
          </w:p>
        </w:tc>
        <w:tc>
          <w:tcPr>
            <w:tcW w:w="6215" w:type="dxa"/>
            <w:vAlign w:val="center"/>
          </w:tcPr>
          <w:p>
            <w:pPr>
              <w:spacing w:line="220" w:lineRule="exact"/>
              <w:rPr>
                <w:color w:val="000000"/>
                <w:szCs w:val="21"/>
              </w:rPr>
            </w:pPr>
            <w:r>
              <w:rPr>
                <w:color w:val="000000"/>
                <w:szCs w:val="21"/>
              </w:rPr>
              <w:t>Xiang Chen, Jingchao Li, Hui Han and Yulong Ying. Improving the signal subtle</w:t>
            </w:r>
            <w:r>
              <w:rPr>
                <w:rFonts w:hint="eastAsia"/>
                <w:color w:val="000000"/>
                <w:szCs w:val="21"/>
              </w:rPr>
              <w:t xml:space="preserve"> </w:t>
            </w:r>
            <w:r>
              <w:rPr>
                <w:color w:val="000000"/>
                <w:szCs w:val="21"/>
              </w:rPr>
              <w:t>feature extraction</w:t>
            </w:r>
            <w:r>
              <w:rPr>
                <w:rFonts w:hint="eastAsia"/>
                <w:color w:val="000000"/>
                <w:szCs w:val="21"/>
              </w:rPr>
              <w:t xml:space="preserve"> </w:t>
            </w:r>
            <w:r>
              <w:rPr>
                <w:color w:val="000000"/>
                <w:szCs w:val="21"/>
              </w:rPr>
              <w:t>performance based on dual</w:t>
            </w:r>
            <w:r>
              <w:rPr>
                <w:rFonts w:hint="eastAsia"/>
                <w:color w:val="000000"/>
                <w:szCs w:val="21"/>
              </w:rPr>
              <w:t xml:space="preserve"> </w:t>
            </w:r>
            <w:r>
              <w:rPr>
                <w:color w:val="000000"/>
                <w:szCs w:val="21"/>
              </w:rPr>
              <w:t>improved fractal box</w:t>
            </w:r>
            <w:r>
              <w:rPr>
                <w:rFonts w:hint="eastAsia"/>
                <w:color w:val="000000"/>
                <w:szCs w:val="21"/>
              </w:rPr>
              <w:t xml:space="preserve"> </w:t>
            </w:r>
            <w:r>
              <w:rPr>
                <w:color w:val="000000"/>
                <w:szCs w:val="21"/>
              </w:rPr>
              <w:t>dimension eigenvectors, Royal society open science, 2018.5.2,5(5):</w:t>
            </w:r>
            <w:r>
              <w:rPr>
                <w:rFonts w:hint="eastAsia"/>
                <w:color w:val="000000"/>
                <w:szCs w:val="21"/>
              </w:rPr>
              <w:t>1-12.</w:t>
            </w:r>
          </w:p>
        </w:tc>
        <w:tc>
          <w:tcPr>
            <w:tcW w:w="1161" w:type="dxa"/>
          </w:tcPr>
          <w:p>
            <w:pPr>
              <w:spacing w:line="220" w:lineRule="exact"/>
              <w:jc w:val="center"/>
              <w:rPr>
                <w:color w:val="000000"/>
                <w:szCs w:val="21"/>
              </w:rPr>
            </w:pPr>
            <w:r>
              <w:fldChar w:fldCharType="begin"/>
            </w:r>
            <w:r>
              <w:instrText xml:space="preserve"> HYPERLINK "https://www.researchgate.net/profile/Jingchao_Li8?_iepl%5BviewId%5D=S069OYW1BgQ5njzqePhF6BWOrBIbwJ4H7iCw&amp;_iepl%5Bcontexts%5D%5B0%5D=prfhpi&amp;_iepl%5Bdata%5D%5BstandardItemCount%5D=2&amp;_iepl%5Bdata%5D%5BuserSelectedItemCount%5D=0&amp;_iepl%5Bdata%5D%5BtopHighlightCount%5D=2&amp;_iepl%5Bdata%5D%5BtopHighlightIndex%5D=2&amp;_iepl%5Bdata%5D%5BfeaturedItem1of2%5D=1&amp;_iepl%5BtargetEntityId%5D=PB%3A321341667&amp;_iepl%5BinteractionType%5D=publicationViewCoAuthorProfile" </w:instrText>
            </w:r>
            <w:r>
              <w:fldChar w:fldCharType="separate"/>
            </w:r>
            <w:r>
              <w:rPr>
                <w:color w:val="000000"/>
                <w:szCs w:val="21"/>
              </w:rPr>
              <w:t>Jingchao Li</w:t>
            </w:r>
            <w:r>
              <w:rPr>
                <w:color w:val="000000"/>
                <w:szCs w:val="21"/>
              </w:rPr>
              <w:fldChar w:fldCharType="end"/>
            </w:r>
            <w:r>
              <w:rPr>
                <w:rFonts w:hint="eastAsia"/>
                <w:color w:val="000000"/>
                <w:szCs w:val="21"/>
              </w:rPr>
              <w:t>（李靖超）</w:t>
            </w:r>
          </w:p>
        </w:tc>
        <w:tc>
          <w:tcPr>
            <w:tcW w:w="1093" w:type="dxa"/>
            <w:vAlign w:val="center"/>
          </w:tcPr>
          <w:p>
            <w:pPr>
              <w:spacing w:line="220" w:lineRule="exact"/>
              <w:jc w:val="center"/>
              <w:rPr>
                <w:color w:val="000000"/>
                <w:szCs w:val="21"/>
              </w:rPr>
            </w:pPr>
            <w:r>
              <w:rPr>
                <w:color w:val="000000"/>
                <w:szCs w:val="21"/>
              </w:rPr>
              <w:t>是</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trPr>
        <w:tc>
          <w:tcPr>
            <w:tcW w:w="762" w:type="dxa"/>
            <w:vAlign w:val="center"/>
          </w:tcPr>
          <w:p>
            <w:pPr>
              <w:spacing w:line="220" w:lineRule="exact"/>
              <w:jc w:val="center"/>
              <w:rPr>
                <w:color w:val="000000"/>
                <w:szCs w:val="21"/>
              </w:rPr>
            </w:pPr>
            <w:r>
              <w:rPr>
                <w:rFonts w:hint="eastAsia"/>
                <w:color w:val="000000"/>
                <w:szCs w:val="21"/>
              </w:rPr>
              <w:t>1</w:t>
            </w:r>
            <w:r>
              <w:rPr>
                <w:color w:val="000000"/>
                <w:szCs w:val="21"/>
              </w:rPr>
              <w:t>1</w:t>
            </w:r>
          </w:p>
        </w:tc>
        <w:tc>
          <w:tcPr>
            <w:tcW w:w="6215" w:type="dxa"/>
            <w:vAlign w:val="center"/>
          </w:tcPr>
          <w:p>
            <w:pPr>
              <w:spacing w:line="220" w:lineRule="exact"/>
              <w:rPr>
                <w:color w:val="000000"/>
                <w:szCs w:val="21"/>
              </w:rPr>
            </w:pPr>
            <w:r>
              <w:fldChar w:fldCharType="begin"/>
            </w:r>
            <w:r>
              <w:instrText xml:space="preserve"> HYPERLINK "https://www.engineeringvillage.com/search/submit.url?CID=quickSearchCitationFormat&amp;implicit=true&amp;usageOrigin=recordpage&amp;category=authorsearch&amp;searchtype=Quick&amp;searchWord1=%7bLi,+Jiandun%7d&amp;section1=AU&amp;database=1&amp;yearselect=yearrange&amp;sort=yr" \o "Search Author" </w:instrText>
            </w:r>
            <w:r>
              <w:fldChar w:fldCharType="separate"/>
            </w:r>
            <w:r>
              <w:rPr>
                <w:color w:val="000000"/>
                <w:szCs w:val="21"/>
              </w:rPr>
              <w:t>Li</w:t>
            </w:r>
            <w:r>
              <w:rPr>
                <w:rFonts w:hint="eastAsia"/>
                <w:color w:val="000000"/>
                <w:szCs w:val="21"/>
              </w:rPr>
              <w:t xml:space="preserve"> </w:t>
            </w:r>
            <w:r>
              <w:rPr>
                <w:color w:val="000000"/>
                <w:szCs w:val="21"/>
              </w:rPr>
              <w:t>Jiandun</w:t>
            </w:r>
            <w:r>
              <w:rPr>
                <w:color w:val="000000"/>
                <w:szCs w:val="21"/>
              </w:rPr>
              <w:fldChar w:fldCharType="end"/>
            </w:r>
            <w:r>
              <w:rPr>
                <w:rFonts w:hint="eastAsia"/>
                <w:color w:val="000000"/>
                <w:szCs w:val="21"/>
              </w:rPr>
              <w:t xml:space="preserve">, </w:t>
            </w:r>
            <w:r>
              <w:fldChar w:fldCharType="begin"/>
            </w:r>
            <w:r>
              <w:instrText xml:space="preserve"> HYPERLINK "https://www.engineeringvillage.com/search/submit.url?CID=quickSearchCitationFormat&amp;implicit=true&amp;usageOrigin=recordpage&amp;category=authorsearch&amp;searchtype=Quick&amp;searchWord1=%7bJi,+Chunlei%7d&amp;section1=AU&amp;database=1&amp;yearselect=yearrange&amp;sort=yr" \o "Search Author" </w:instrText>
            </w:r>
            <w:r>
              <w:fldChar w:fldCharType="separate"/>
            </w:r>
            <w:r>
              <w:rPr>
                <w:color w:val="000000"/>
                <w:szCs w:val="21"/>
              </w:rPr>
              <w:t>Ji</w:t>
            </w:r>
            <w:r>
              <w:rPr>
                <w:rFonts w:hint="eastAsia"/>
                <w:color w:val="000000"/>
                <w:szCs w:val="21"/>
              </w:rPr>
              <w:t xml:space="preserve"> </w:t>
            </w:r>
            <w:r>
              <w:rPr>
                <w:color w:val="000000"/>
                <w:szCs w:val="21"/>
              </w:rPr>
              <w:t>Chunlei</w:t>
            </w:r>
            <w:r>
              <w:rPr>
                <w:color w:val="000000"/>
                <w:szCs w:val="21"/>
              </w:rPr>
              <w:fldChar w:fldCharType="end"/>
            </w:r>
            <w:r>
              <w:rPr>
                <w:rFonts w:hint="eastAsia"/>
                <w:color w:val="000000"/>
                <w:szCs w:val="21"/>
              </w:rPr>
              <w:t xml:space="preserve">, </w:t>
            </w:r>
            <w:r>
              <w:fldChar w:fldCharType="begin"/>
            </w:r>
            <w:r>
              <w:instrText xml:space="preserve"> HYPERLINK "https://www.engineeringvillage.com/search/submit.url?CID=quickSearchCitationFormat&amp;implicit=true&amp;usageOrigin=recordpage&amp;category=authorsearch&amp;searchtype=Quick&amp;searchWord1=%7bWang,+Xin%7d&amp;section1=AU&amp;database=1&amp;yearselect=yearrange&amp;sort=yr" \o "Search Author" </w:instrText>
            </w:r>
            <w:r>
              <w:fldChar w:fldCharType="separate"/>
            </w:r>
            <w:r>
              <w:rPr>
                <w:color w:val="000000"/>
                <w:szCs w:val="21"/>
              </w:rPr>
              <w:t>Wang</w:t>
            </w:r>
            <w:r>
              <w:rPr>
                <w:rFonts w:hint="eastAsia"/>
                <w:color w:val="000000"/>
                <w:szCs w:val="21"/>
              </w:rPr>
              <w:t xml:space="preserve"> </w:t>
            </w:r>
            <w:r>
              <w:rPr>
                <w:color w:val="000000"/>
                <w:szCs w:val="21"/>
              </w:rPr>
              <w:t>Xin</w:t>
            </w:r>
            <w:r>
              <w:rPr>
                <w:color w:val="000000"/>
                <w:szCs w:val="21"/>
              </w:rPr>
              <w:fldChar w:fldCharType="end"/>
            </w:r>
            <w:r>
              <w:rPr>
                <w:rFonts w:hint="eastAsia"/>
                <w:color w:val="000000"/>
                <w:szCs w:val="21"/>
              </w:rPr>
              <w:t xml:space="preserve">. </w:t>
            </w:r>
            <w:r>
              <w:rPr>
                <w:color w:val="000000"/>
                <w:szCs w:val="21"/>
              </w:rPr>
              <w:t>Energy sensor on the horizon: An accurate, agile and scalable energy metering framework for large-scale wired computing resources[C]</w:t>
            </w:r>
            <w:r>
              <w:rPr>
                <w:rFonts w:hint="eastAsia"/>
                <w:color w:val="000000"/>
                <w:szCs w:val="21"/>
              </w:rPr>
              <w:t xml:space="preserve">. </w:t>
            </w:r>
            <w:r>
              <w:rPr>
                <w:color w:val="000000"/>
                <w:szCs w:val="21"/>
              </w:rPr>
              <w:t>ISSCT 2014</w:t>
            </w:r>
            <w:r>
              <w:rPr>
                <w:rFonts w:hint="eastAsia"/>
                <w:color w:val="000000"/>
                <w:szCs w:val="21"/>
              </w:rPr>
              <w:t>.</w:t>
            </w:r>
            <w:r>
              <w:rPr>
                <w:color w:val="000000"/>
                <w:szCs w:val="21"/>
              </w:rPr>
              <w:t xml:space="preserve"> 2015.</w:t>
            </w:r>
          </w:p>
        </w:tc>
        <w:tc>
          <w:tcPr>
            <w:tcW w:w="1161" w:type="dxa"/>
          </w:tcPr>
          <w:p>
            <w:pPr>
              <w:spacing w:line="220" w:lineRule="exact"/>
              <w:jc w:val="center"/>
              <w:rPr>
                <w:color w:val="000000"/>
                <w:szCs w:val="21"/>
              </w:rPr>
            </w:pPr>
            <w:r>
              <w:fldChar w:fldCharType="begin"/>
            </w:r>
            <w:r>
              <w:instrText xml:space="preserve"> HYPERLINK "https://www.engineeringvillage.com/search/submit.url?CID=quickSearchCitationFormat&amp;implicit=true&amp;usageOrigin=recordpage&amp;category=authorsearch&amp;searchtype=Quick&amp;searchWord1=%7bJi,+Chunlei%7d&amp;section1=AU&amp;database=1&amp;yearselect=yearrange&amp;sort=yr" \o "Search Author" </w:instrText>
            </w:r>
            <w:r>
              <w:fldChar w:fldCharType="separate"/>
            </w:r>
            <w:r>
              <w:rPr>
                <w:color w:val="000000"/>
                <w:szCs w:val="21"/>
              </w:rPr>
              <w:t>Ji</w:t>
            </w:r>
            <w:r>
              <w:rPr>
                <w:rFonts w:hint="eastAsia"/>
                <w:color w:val="000000"/>
                <w:szCs w:val="21"/>
              </w:rPr>
              <w:t xml:space="preserve"> </w:t>
            </w:r>
            <w:r>
              <w:rPr>
                <w:color w:val="000000"/>
                <w:szCs w:val="21"/>
              </w:rPr>
              <w:t>Chunlei</w:t>
            </w:r>
            <w:r>
              <w:rPr>
                <w:color w:val="000000"/>
                <w:szCs w:val="21"/>
              </w:rPr>
              <w:fldChar w:fldCharType="end"/>
            </w:r>
            <w:r>
              <w:rPr>
                <w:color w:val="000000"/>
                <w:szCs w:val="21"/>
              </w:rPr>
              <w:t>(计春雷)</w:t>
            </w:r>
          </w:p>
        </w:tc>
        <w:tc>
          <w:tcPr>
            <w:tcW w:w="1093" w:type="dxa"/>
            <w:vAlign w:val="center"/>
          </w:tcPr>
          <w:p>
            <w:pPr>
              <w:spacing w:line="220" w:lineRule="exact"/>
              <w:jc w:val="center"/>
              <w:rPr>
                <w:color w:val="000000"/>
                <w:szCs w:val="21"/>
              </w:rPr>
            </w:pPr>
            <w:r>
              <w:rPr>
                <w:color w:val="000000"/>
                <w:szCs w:val="21"/>
              </w:rPr>
              <w:t>是</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trPr>
        <w:tc>
          <w:tcPr>
            <w:tcW w:w="762" w:type="dxa"/>
            <w:vAlign w:val="center"/>
          </w:tcPr>
          <w:p>
            <w:pPr>
              <w:spacing w:line="220" w:lineRule="exact"/>
              <w:jc w:val="center"/>
              <w:rPr>
                <w:color w:val="000000"/>
                <w:szCs w:val="21"/>
              </w:rPr>
            </w:pPr>
            <w:r>
              <w:rPr>
                <w:rFonts w:hint="eastAsia"/>
                <w:color w:val="000000"/>
                <w:szCs w:val="21"/>
              </w:rPr>
              <w:t>1</w:t>
            </w:r>
            <w:r>
              <w:rPr>
                <w:color w:val="000000"/>
                <w:szCs w:val="21"/>
              </w:rPr>
              <w:t>2</w:t>
            </w:r>
          </w:p>
        </w:tc>
        <w:tc>
          <w:tcPr>
            <w:tcW w:w="6215" w:type="dxa"/>
            <w:vAlign w:val="center"/>
          </w:tcPr>
          <w:p>
            <w:pPr>
              <w:spacing w:line="220" w:lineRule="exact"/>
              <w:rPr>
                <w:color w:val="000000"/>
                <w:szCs w:val="21"/>
              </w:rPr>
            </w:pPr>
            <w:r>
              <w:rPr>
                <w:color w:val="000000"/>
                <w:szCs w:val="21"/>
              </w:rPr>
              <w:t>Zhang Chunjie, Hao Dongbin, Hou Changbo*, Yin Xiangjun. A New Approach for Sparse Signal Recovery in Compressed Sensing Based on Minimizing Composite Trigonometric Function, IEEE ACCESS, 2018.7.16, 6(44) : 44894~44904.</w:t>
            </w:r>
          </w:p>
        </w:tc>
        <w:tc>
          <w:tcPr>
            <w:tcW w:w="1161" w:type="dxa"/>
          </w:tcPr>
          <w:p>
            <w:pPr>
              <w:spacing w:line="220" w:lineRule="exact"/>
              <w:jc w:val="center"/>
              <w:rPr>
                <w:color w:val="000000"/>
                <w:szCs w:val="21"/>
              </w:rPr>
            </w:pPr>
            <w:r>
              <w:rPr>
                <w:color w:val="000000"/>
                <w:szCs w:val="21"/>
              </w:rPr>
              <w:t>Hou Changbo</w:t>
            </w:r>
            <w:r>
              <w:rPr>
                <w:rFonts w:hint="eastAsia"/>
                <w:color w:val="000000"/>
                <w:szCs w:val="21"/>
              </w:rPr>
              <w:t>（侯长波）</w:t>
            </w:r>
          </w:p>
        </w:tc>
        <w:tc>
          <w:tcPr>
            <w:tcW w:w="1093" w:type="dxa"/>
            <w:vAlign w:val="center"/>
          </w:tcPr>
          <w:p>
            <w:pPr>
              <w:spacing w:line="220" w:lineRule="exact"/>
              <w:jc w:val="center"/>
              <w:rPr>
                <w:color w:val="000000"/>
                <w:szCs w:val="21"/>
              </w:rPr>
            </w:pPr>
            <w:r>
              <w:rPr>
                <w:color w:val="000000"/>
                <w:szCs w:val="21"/>
              </w:rPr>
              <w:t>是</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trPr>
        <w:tc>
          <w:tcPr>
            <w:tcW w:w="762" w:type="dxa"/>
            <w:vAlign w:val="center"/>
          </w:tcPr>
          <w:p>
            <w:pPr>
              <w:spacing w:line="220" w:lineRule="exact"/>
              <w:jc w:val="center"/>
              <w:rPr>
                <w:color w:val="000000"/>
                <w:szCs w:val="21"/>
              </w:rPr>
            </w:pPr>
            <w:r>
              <w:rPr>
                <w:rFonts w:hint="eastAsia"/>
                <w:color w:val="000000"/>
                <w:szCs w:val="21"/>
              </w:rPr>
              <w:t>1</w:t>
            </w:r>
            <w:r>
              <w:rPr>
                <w:color w:val="000000"/>
                <w:szCs w:val="21"/>
              </w:rPr>
              <w:t>3</w:t>
            </w:r>
          </w:p>
        </w:tc>
        <w:tc>
          <w:tcPr>
            <w:tcW w:w="6215" w:type="dxa"/>
            <w:vAlign w:val="center"/>
          </w:tcPr>
          <w:p>
            <w:pPr>
              <w:spacing w:line="220" w:lineRule="exact"/>
              <w:rPr>
                <w:color w:val="000000"/>
                <w:szCs w:val="21"/>
              </w:rPr>
            </w:pPr>
            <w:r>
              <w:rPr>
                <w:color w:val="000000"/>
                <w:szCs w:val="21"/>
              </w:rPr>
              <w:t>Tu Y, Lin Y, Wang J, et al. Semi-Supervised Learning with Generative Adversarial Networks on Digital Signal Modulation Classification[J]. CMC-Computers Materials &amp; Continua, 2018, 55(2): 243-254.</w:t>
            </w:r>
          </w:p>
        </w:tc>
        <w:tc>
          <w:tcPr>
            <w:tcW w:w="1161" w:type="dxa"/>
          </w:tcPr>
          <w:p>
            <w:pPr>
              <w:spacing w:line="220" w:lineRule="exact"/>
              <w:jc w:val="center"/>
              <w:rPr>
                <w:color w:val="000000"/>
                <w:szCs w:val="21"/>
              </w:rPr>
            </w:pPr>
            <w:r>
              <w:rPr>
                <w:color w:val="000000"/>
                <w:szCs w:val="21"/>
              </w:rPr>
              <w:t>Lin Y</w:t>
            </w:r>
            <w:r>
              <w:rPr>
                <w:rFonts w:hint="eastAsia"/>
                <w:color w:val="000000"/>
                <w:szCs w:val="21"/>
              </w:rPr>
              <w:t>（林云）</w:t>
            </w:r>
          </w:p>
        </w:tc>
        <w:tc>
          <w:tcPr>
            <w:tcW w:w="1093" w:type="dxa"/>
            <w:vAlign w:val="center"/>
          </w:tcPr>
          <w:p>
            <w:pPr>
              <w:spacing w:line="220" w:lineRule="exact"/>
              <w:jc w:val="center"/>
              <w:rPr>
                <w:color w:val="000000"/>
                <w:szCs w:val="21"/>
              </w:rPr>
            </w:pPr>
            <w:r>
              <w:rPr>
                <w:color w:val="000000"/>
                <w:szCs w:val="21"/>
              </w:rPr>
              <w:t>是</w:t>
            </w:r>
            <w:r>
              <w:rPr>
                <w:rFonts w:hint="eastAsia"/>
                <w:color w:val="000000"/>
                <w:szCs w:val="21"/>
              </w:rPr>
              <w:t>（</w:t>
            </w:r>
            <w:r>
              <w:rPr>
                <w:color w:val="000000"/>
                <w:szCs w:val="21"/>
              </w:rPr>
              <w:t>ESI高被引</w:t>
            </w:r>
            <w:r>
              <w:rPr>
                <w:rFonts w:hint="eastAsia"/>
                <w:color w:val="000000"/>
                <w:szCs w:val="21"/>
              </w:rPr>
              <w:t>）</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2</w:t>
            </w:r>
            <w:r>
              <w:rPr>
                <w:rFonts w:ascii="仿宋_GB2312" w:hAnsi="仿宋" w:eastAsia="仿宋_GB2312"/>
                <w:sz w:val="18"/>
                <w:szCs w:val="18"/>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trPr>
        <w:tc>
          <w:tcPr>
            <w:tcW w:w="762" w:type="dxa"/>
            <w:vAlign w:val="center"/>
          </w:tcPr>
          <w:p>
            <w:pPr>
              <w:spacing w:line="220" w:lineRule="exact"/>
              <w:jc w:val="center"/>
              <w:rPr>
                <w:color w:val="000000"/>
                <w:szCs w:val="21"/>
              </w:rPr>
            </w:pPr>
            <w:r>
              <w:rPr>
                <w:rFonts w:hint="eastAsia"/>
                <w:color w:val="000000"/>
                <w:szCs w:val="21"/>
              </w:rPr>
              <w:t>1</w:t>
            </w:r>
            <w:r>
              <w:rPr>
                <w:color w:val="000000"/>
                <w:szCs w:val="21"/>
              </w:rPr>
              <w:t>4</w:t>
            </w:r>
          </w:p>
        </w:tc>
        <w:tc>
          <w:tcPr>
            <w:tcW w:w="6215" w:type="dxa"/>
            <w:vAlign w:val="center"/>
          </w:tcPr>
          <w:p>
            <w:pPr>
              <w:spacing w:line="220" w:lineRule="exact"/>
              <w:rPr>
                <w:color w:val="000000"/>
                <w:szCs w:val="21"/>
              </w:rPr>
            </w:pPr>
            <w:r>
              <w:rPr>
                <w:color w:val="000000"/>
                <w:szCs w:val="21"/>
              </w:rPr>
              <w:t>Yulong Ying, Yunpeng Cao, Shuying Li, Jingchao Li. Nonlinear Steady-State Model Based Gas Turbine Health Status Estimation Approach with Improved Particle Swarm Optimization Algorithm[J]. Mathematical Problems in Engineering, 2015(3): 1-12.</w:t>
            </w:r>
          </w:p>
        </w:tc>
        <w:tc>
          <w:tcPr>
            <w:tcW w:w="1161" w:type="dxa"/>
          </w:tcPr>
          <w:p>
            <w:pPr>
              <w:spacing w:line="220" w:lineRule="exact"/>
              <w:jc w:val="center"/>
              <w:rPr>
                <w:color w:val="000000"/>
                <w:szCs w:val="21"/>
              </w:rPr>
            </w:pPr>
            <w:r>
              <w:rPr>
                <w:color w:val="000000"/>
                <w:szCs w:val="21"/>
              </w:rPr>
              <w:t>Yulong Ying</w:t>
            </w:r>
            <w:r>
              <w:rPr>
                <w:rFonts w:hint="eastAsia"/>
                <w:color w:val="000000"/>
                <w:szCs w:val="21"/>
              </w:rPr>
              <w:t>（应雨龙）</w:t>
            </w:r>
          </w:p>
        </w:tc>
        <w:tc>
          <w:tcPr>
            <w:tcW w:w="1093" w:type="dxa"/>
            <w:vAlign w:val="center"/>
          </w:tcPr>
          <w:p>
            <w:pPr>
              <w:spacing w:line="220" w:lineRule="exact"/>
              <w:jc w:val="center"/>
              <w:rPr>
                <w:color w:val="000000"/>
                <w:szCs w:val="21"/>
              </w:rPr>
            </w:pPr>
            <w:r>
              <w:rPr>
                <w:color w:val="000000"/>
                <w:szCs w:val="21"/>
              </w:rPr>
              <w:t>是</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trPr>
        <w:tc>
          <w:tcPr>
            <w:tcW w:w="762" w:type="dxa"/>
            <w:vAlign w:val="center"/>
          </w:tcPr>
          <w:p>
            <w:pPr>
              <w:spacing w:line="220" w:lineRule="exact"/>
              <w:jc w:val="center"/>
              <w:rPr>
                <w:color w:val="000000"/>
                <w:szCs w:val="21"/>
              </w:rPr>
            </w:pPr>
            <w:r>
              <w:rPr>
                <w:rFonts w:hint="eastAsia"/>
                <w:color w:val="000000"/>
                <w:szCs w:val="21"/>
              </w:rPr>
              <w:t>1</w:t>
            </w:r>
            <w:r>
              <w:rPr>
                <w:color w:val="000000"/>
                <w:szCs w:val="21"/>
              </w:rPr>
              <w:t>5</w:t>
            </w:r>
          </w:p>
        </w:tc>
        <w:tc>
          <w:tcPr>
            <w:tcW w:w="6215" w:type="dxa"/>
            <w:vAlign w:val="center"/>
          </w:tcPr>
          <w:p>
            <w:pPr>
              <w:spacing w:line="220" w:lineRule="exact"/>
              <w:rPr>
                <w:color w:val="000000"/>
                <w:szCs w:val="21"/>
              </w:rPr>
            </w:pPr>
            <w:r>
              <w:rPr>
                <w:color w:val="000000"/>
                <w:szCs w:val="21"/>
              </w:rPr>
              <w:t xml:space="preserve">Jingchao Li, Yulong Ying. </w:t>
            </w:r>
            <w:r>
              <w:fldChar w:fldCharType="begin"/>
            </w:r>
            <w:r>
              <w:instrText xml:space="preserve"> HYPERLINK "https://www.researchgate.net/profile/Yulong_Ying/publication/304019769_Gas_Turbine_Gas_Path_Fault_Diagnosis_Based_on_Adaptive_Nonlinear_Steady-state_Thermodynamic_Model/links/576393a808ae570d6e15c7cf/Gas-Turbine-Gas-Path-Fault-Diagnosis-Based-on-Adaptive-Nonlinear-Steady-state-Thermodynamic-Model.pdf" \t "_blank" </w:instrText>
            </w:r>
            <w:r>
              <w:fldChar w:fldCharType="separate"/>
            </w:r>
            <w:r>
              <w:rPr>
                <w:color w:val="000000"/>
                <w:szCs w:val="21"/>
              </w:rPr>
              <w:t>Marine</w:t>
            </w:r>
            <w:r>
              <w:rPr>
                <w:color w:val="000000"/>
                <w:szCs w:val="21"/>
              </w:rPr>
              <w:fldChar w:fldCharType="end"/>
            </w:r>
            <w:r>
              <w:rPr>
                <w:color w:val="000000"/>
                <w:szCs w:val="21"/>
              </w:rPr>
              <w:t xml:space="preserve"> three-shaft intercooled-cycle gas turbine engine transient thermodynamic simulation[J] International Journal of Performability Engineering, October 2018, 14(10): 2289-2301.</w:t>
            </w:r>
          </w:p>
        </w:tc>
        <w:tc>
          <w:tcPr>
            <w:tcW w:w="1161" w:type="dxa"/>
          </w:tcPr>
          <w:p>
            <w:pPr>
              <w:spacing w:line="220" w:lineRule="exact"/>
              <w:jc w:val="center"/>
              <w:rPr>
                <w:color w:val="000000"/>
                <w:szCs w:val="21"/>
              </w:rPr>
            </w:pPr>
            <w:r>
              <w:rPr>
                <w:color w:val="000000"/>
                <w:szCs w:val="21"/>
              </w:rPr>
              <w:t>Yulong Ying</w:t>
            </w:r>
            <w:r>
              <w:rPr>
                <w:rFonts w:hint="eastAsia"/>
                <w:color w:val="000000"/>
                <w:szCs w:val="21"/>
              </w:rPr>
              <w:t>（应雨龙）</w:t>
            </w:r>
          </w:p>
        </w:tc>
        <w:tc>
          <w:tcPr>
            <w:tcW w:w="1093" w:type="dxa"/>
            <w:vAlign w:val="center"/>
          </w:tcPr>
          <w:p>
            <w:pPr>
              <w:spacing w:line="220" w:lineRule="exact"/>
              <w:jc w:val="center"/>
              <w:rPr>
                <w:color w:val="000000"/>
                <w:szCs w:val="21"/>
              </w:rPr>
            </w:pPr>
            <w:r>
              <w:rPr>
                <w:color w:val="000000"/>
                <w:szCs w:val="21"/>
              </w:rPr>
              <w:t>是</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2" w:hRule="atLeast"/>
        </w:trPr>
        <w:tc>
          <w:tcPr>
            <w:tcW w:w="762" w:type="dxa"/>
            <w:vAlign w:val="center"/>
          </w:tcPr>
          <w:p>
            <w:pPr>
              <w:spacing w:line="220" w:lineRule="exact"/>
              <w:jc w:val="center"/>
              <w:rPr>
                <w:color w:val="000000"/>
                <w:szCs w:val="21"/>
              </w:rPr>
            </w:pPr>
            <w:r>
              <w:rPr>
                <w:rFonts w:hint="eastAsia"/>
                <w:color w:val="000000"/>
                <w:szCs w:val="21"/>
              </w:rPr>
              <w:t>1</w:t>
            </w:r>
            <w:r>
              <w:rPr>
                <w:color w:val="000000"/>
                <w:szCs w:val="21"/>
              </w:rPr>
              <w:t>6</w:t>
            </w:r>
          </w:p>
        </w:tc>
        <w:tc>
          <w:tcPr>
            <w:tcW w:w="6215" w:type="dxa"/>
            <w:vAlign w:val="center"/>
          </w:tcPr>
          <w:p>
            <w:pPr>
              <w:spacing w:line="220" w:lineRule="exact"/>
              <w:rPr>
                <w:color w:val="000000"/>
                <w:szCs w:val="21"/>
              </w:rPr>
            </w:pPr>
            <w:r>
              <w:rPr>
                <w:color w:val="000000"/>
                <w:szCs w:val="21"/>
              </w:rPr>
              <w:t>Lin Y, Li Y, Yin X, et al. Multisensor Fault Diagnosis Modeling Based on the Evidence Theory[J]. IEEE Transactions on Reliability, 2018, 67(02): 513-521.</w:t>
            </w:r>
          </w:p>
        </w:tc>
        <w:tc>
          <w:tcPr>
            <w:tcW w:w="1161" w:type="dxa"/>
          </w:tcPr>
          <w:p>
            <w:pPr>
              <w:spacing w:line="220" w:lineRule="exact"/>
              <w:rPr>
                <w:color w:val="000000"/>
                <w:szCs w:val="21"/>
              </w:rPr>
            </w:pPr>
            <w:r>
              <w:rPr>
                <w:color w:val="000000"/>
                <w:szCs w:val="21"/>
              </w:rPr>
              <w:t>Lin Yun</w:t>
            </w:r>
            <w:r>
              <w:rPr>
                <w:rFonts w:hint="eastAsia"/>
                <w:color w:val="000000"/>
                <w:szCs w:val="21"/>
              </w:rPr>
              <w:t>（林云）</w:t>
            </w:r>
          </w:p>
        </w:tc>
        <w:tc>
          <w:tcPr>
            <w:tcW w:w="1093" w:type="dxa"/>
            <w:vAlign w:val="center"/>
          </w:tcPr>
          <w:p>
            <w:pPr>
              <w:spacing w:line="220" w:lineRule="exact"/>
              <w:ind w:firstLine="420" w:firstLineChars="200"/>
              <w:rPr>
                <w:color w:val="000000"/>
                <w:szCs w:val="21"/>
              </w:rPr>
            </w:pPr>
            <w:r>
              <w:rPr>
                <w:color w:val="000000"/>
                <w:szCs w:val="21"/>
              </w:rPr>
              <w:t>是</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trPr>
        <w:tc>
          <w:tcPr>
            <w:tcW w:w="762" w:type="dxa"/>
            <w:vAlign w:val="center"/>
          </w:tcPr>
          <w:p>
            <w:pPr>
              <w:spacing w:line="220" w:lineRule="exact"/>
              <w:jc w:val="center"/>
              <w:rPr>
                <w:color w:val="000000"/>
                <w:szCs w:val="21"/>
              </w:rPr>
            </w:pPr>
            <w:r>
              <w:rPr>
                <w:rFonts w:hint="eastAsia"/>
                <w:color w:val="000000"/>
                <w:szCs w:val="21"/>
              </w:rPr>
              <w:t>1</w:t>
            </w:r>
            <w:r>
              <w:rPr>
                <w:color w:val="000000"/>
                <w:szCs w:val="21"/>
              </w:rPr>
              <w:t>7</w:t>
            </w:r>
          </w:p>
        </w:tc>
        <w:tc>
          <w:tcPr>
            <w:tcW w:w="6215" w:type="dxa"/>
            <w:vAlign w:val="center"/>
          </w:tcPr>
          <w:p>
            <w:pPr>
              <w:spacing w:line="220" w:lineRule="exact"/>
              <w:rPr>
                <w:color w:val="000000"/>
                <w:szCs w:val="21"/>
              </w:rPr>
            </w:pPr>
            <w:r>
              <w:rPr>
                <w:color w:val="000000"/>
                <w:szCs w:val="21"/>
              </w:rPr>
              <w:t>Lanxin Hu, Yulong Ying, Jingchao Li. A fuzzy logic controller application for marine power plants[C]. 2nd International Conference on Systems and Informatics (ICSAI), Shanghai, China, NOV 15-17, 2014: 124-131.</w:t>
            </w:r>
          </w:p>
        </w:tc>
        <w:tc>
          <w:tcPr>
            <w:tcW w:w="1161" w:type="dxa"/>
          </w:tcPr>
          <w:p>
            <w:pPr>
              <w:spacing w:line="220" w:lineRule="exact"/>
              <w:jc w:val="center"/>
              <w:rPr>
                <w:color w:val="000000"/>
                <w:szCs w:val="21"/>
              </w:rPr>
            </w:pPr>
            <w:r>
              <w:rPr>
                <w:color w:val="000000"/>
                <w:szCs w:val="21"/>
              </w:rPr>
              <w:t>Yulong Ying</w:t>
            </w:r>
            <w:r>
              <w:rPr>
                <w:rFonts w:hint="eastAsia"/>
                <w:color w:val="000000"/>
                <w:szCs w:val="21"/>
              </w:rPr>
              <w:t>（应雨龙）</w:t>
            </w:r>
          </w:p>
        </w:tc>
        <w:tc>
          <w:tcPr>
            <w:tcW w:w="1093" w:type="dxa"/>
            <w:vAlign w:val="center"/>
          </w:tcPr>
          <w:p>
            <w:pPr>
              <w:spacing w:line="220" w:lineRule="exact"/>
              <w:jc w:val="center"/>
              <w:rPr>
                <w:color w:val="000000"/>
                <w:szCs w:val="21"/>
              </w:rPr>
            </w:pPr>
            <w:r>
              <w:rPr>
                <w:rFonts w:hint="eastAsia"/>
                <w:color w:val="000000"/>
                <w:szCs w:val="21"/>
              </w:rPr>
              <w:t>是</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8" w:hRule="atLeast"/>
        </w:trPr>
        <w:tc>
          <w:tcPr>
            <w:tcW w:w="762" w:type="dxa"/>
            <w:vAlign w:val="center"/>
          </w:tcPr>
          <w:p>
            <w:pPr>
              <w:spacing w:line="220" w:lineRule="exact"/>
              <w:jc w:val="center"/>
              <w:rPr>
                <w:color w:val="000000"/>
                <w:szCs w:val="21"/>
              </w:rPr>
            </w:pPr>
            <w:r>
              <w:rPr>
                <w:color w:val="000000"/>
                <w:szCs w:val="21"/>
              </w:rPr>
              <w:t>18</w:t>
            </w:r>
          </w:p>
        </w:tc>
        <w:tc>
          <w:tcPr>
            <w:tcW w:w="6215" w:type="dxa"/>
            <w:vAlign w:val="center"/>
          </w:tcPr>
          <w:p>
            <w:pPr>
              <w:spacing w:line="220" w:lineRule="exact"/>
              <w:rPr>
                <w:color w:val="000000"/>
                <w:szCs w:val="21"/>
              </w:rPr>
            </w:pPr>
            <w:r>
              <w:fldChar w:fldCharType="begin"/>
            </w:r>
            <w:r>
              <w:instrText xml:space="preserve"> HYPERLINK "http://ieeexplore.ieee.org/search/searchresult.jsp?searchWithin=%22Authors%22:.QT.Yulong%20Ying.QT.&amp;newsearch=true" </w:instrText>
            </w:r>
            <w:r>
              <w:fldChar w:fldCharType="separate"/>
            </w:r>
            <w:r>
              <w:rPr>
                <w:color w:val="000000"/>
                <w:szCs w:val="21"/>
              </w:rPr>
              <w:t>Yulong Ying</w:t>
            </w:r>
            <w:r>
              <w:rPr>
                <w:color w:val="000000"/>
                <w:szCs w:val="21"/>
              </w:rPr>
              <w:fldChar w:fldCharType="end"/>
            </w:r>
            <w:r>
              <w:rPr>
                <w:color w:val="000000"/>
                <w:szCs w:val="21"/>
              </w:rPr>
              <w:t xml:space="preserve">, </w:t>
            </w:r>
            <w:r>
              <w:fldChar w:fldCharType="begin"/>
            </w:r>
            <w:r>
              <w:instrText xml:space="preserve"> HYPERLINK "http://ieeexplore.ieee.org/search/searchresult.jsp?searchWithin=%22Authors%22:.QT.Jingchao%20Li.QT.&amp;newsearch=true" </w:instrText>
            </w:r>
            <w:r>
              <w:fldChar w:fldCharType="separate"/>
            </w:r>
            <w:r>
              <w:rPr>
                <w:color w:val="000000"/>
                <w:szCs w:val="21"/>
              </w:rPr>
              <w:t>Jingchao Li</w:t>
            </w:r>
            <w:r>
              <w:rPr>
                <w:color w:val="000000"/>
                <w:szCs w:val="21"/>
              </w:rPr>
              <w:fldChar w:fldCharType="end"/>
            </w:r>
            <w:r>
              <w:rPr>
                <w:color w:val="000000"/>
                <w:szCs w:val="21"/>
              </w:rPr>
              <w:t xml:space="preserve">*, </w:t>
            </w:r>
            <w:r>
              <w:fldChar w:fldCharType="begin"/>
            </w:r>
            <w:r>
              <w:instrText xml:space="preserve"> HYPERLINK "http://ieeexplore.ieee.org/search/searchresult.jsp?searchWithin=%22Authors%22:.QT.Zhimin%20Chen.QT.&amp;newsearch=true" </w:instrText>
            </w:r>
            <w:r>
              <w:fldChar w:fldCharType="separate"/>
            </w:r>
            <w:r>
              <w:rPr>
                <w:color w:val="000000"/>
                <w:szCs w:val="21"/>
              </w:rPr>
              <w:t>Zhimin Chen</w:t>
            </w:r>
            <w:r>
              <w:rPr>
                <w:color w:val="000000"/>
                <w:szCs w:val="21"/>
              </w:rPr>
              <w:fldChar w:fldCharType="end"/>
            </w:r>
            <w:r>
              <w:rPr>
                <w:color w:val="000000"/>
                <w:szCs w:val="21"/>
              </w:rPr>
              <w:t xml:space="preserve">, </w:t>
            </w:r>
            <w:r>
              <w:fldChar w:fldCharType="begin"/>
            </w:r>
            <w:r>
              <w:instrText xml:space="preserve"> HYPERLINK "http://ieeexplore.ieee.org/search/searchresult.jsp?searchWithin=%22Authors%22:.QT.Jing%20Li.QT.&amp;newsearch=true" </w:instrText>
            </w:r>
            <w:r>
              <w:fldChar w:fldCharType="separate"/>
            </w:r>
            <w:r>
              <w:rPr>
                <w:color w:val="000000"/>
                <w:szCs w:val="21"/>
              </w:rPr>
              <w:t>Jing Li</w:t>
            </w:r>
            <w:r>
              <w:rPr>
                <w:color w:val="000000"/>
                <w:szCs w:val="21"/>
              </w:rPr>
              <w:fldChar w:fldCharType="end"/>
            </w:r>
            <w:r>
              <w:rPr>
                <w:color w:val="000000"/>
                <w:szCs w:val="21"/>
              </w:rPr>
              <w:t xml:space="preserve">. </w:t>
            </w:r>
            <w:r>
              <w:fldChar w:fldCharType="begin"/>
            </w:r>
            <w:r>
              <w:instrText xml:space="preserve"> HYPERLINK "http://ieeexplore.ieee.org/document/8004313/" </w:instrText>
            </w:r>
            <w:r>
              <w:fldChar w:fldCharType="separate"/>
            </w:r>
            <w:r>
              <w:rPr>
                <w:color w:val="000000"/>
                <w:szCs w:val="21"/>
              </w:rPr>
              <w:t>Rolling Bearing Vibration Signal Analysis Based on Dual-Entropy, Holder Coefficient and Gray Relation Theory</w:t>
            </w:r>
            <w:r>
              <w:rPr>
                <w:color w:val="000000"/>
                <w:szCs w:val="21"/>
              </w:rPr>
              <w:fldChar w:fldCharType="end"/>
            </w:r>
            <w:r>
              <w:rPr>
                <w:rFonts w:hint="eastAsia"/>
                <w:color w:val="000000"/>
                <w:szCs w:val="21"/>
              </w:rPr>
              <w:t>[</w:t>
            </w:r>
            <w:r>
              <w:rPr>
                <w:color w:val="000000"/>
                <w:szCs w:val="21"/>
              </w:rPr>
              <w:t>C</w:t>
            </w:r>
            <w:r>
              <w:rPr>
                <w:rFonts w:hint="eastAsia"/>
                <w:color w:val="000000"/>
                <w:szCs w:val="21"/>
              </w:rPr>
              <w:t>]</w:t>
            </w:r>
            <w:r>
              <w:rPr>
                <w:color w:val="000000"/>
                <w:szCs w:val="21"/>
              </w:rPr>
              <w:t xml:space="preserve">. </w:t>
            </w:r>
            <w:r>
              <w:fldChar w:fldCharType="begin"/>
            </w:r>
            <w:r>
              <w:instrText xml:space="preserve"> HYPERLINK "http://ieeexplore.ieee.org/xpl/mostRecentIssue.jsp?punumber=8004065" </w:instrText>
            </w:r>
            <w:r>
              <w:fldChar w:fldCharType="separate"/>
            </w:r>
            <w:r>
              <w:rPr>
                <w:color w:val="000000"/>
                <w:szCs w:val="21"/>
              </w:rPr>
              <w:t>2017 IEEE International Conference on Software Quality, Reliability and Security Companion (QRS-C)</w:t>
            </w:r>
            <w:r>
              <w:rPr>
                <w:color w:val="000000"/>
                <w:szCs w:val="21"/>
              </w:rPr>
              <w:fldChar w:fldCharType="end"/>
            </w:r>
            <w:r>
              <w:rPr>
                <w:rFonts w:hint="eastAsia"/>
                <w:color w:val="000000"/>
                <w:szCs w:val="21"/>
              </w:rPr>
              <w:t xml:space="preserve">, </w:t>
            </w:r>
            <w:r>
              <w:rPr>
                <w:color w:val="000000"/>
                <w:szCs w:val="21"/>
              </w:rPr>
              <w:t>2017.7.25</w:t>
            </w:r>
            <w:r>
              <w:rPr>
                <w:rFonts w:hint="eastAsia"/>
                <w:color w:val="000000"/>
                <w:szCs w:val="21"/>
              </w:rPr>
              <w:t>,</w:t>
            </w:r>
            <w:r>
              <w:rPr>
                <w:color w:val="000000"/>
                <w:szCs w:val="21"/>
              </w:rPr>
              <w:t xml:space="preserve"> 190-194.</w:t>
            </w:r>
          </w:p>
        </w:tc>
        <w:tc>
          <w:tcPr>
            <w:tcW w:w="1161" w:type="dxa"/>
          </w:tcPr>
          <w:p>
            <w:pPr>
              <w:spacing w:line="220" w:lineRule="exact"/>
              <w:jc w:val="center"/>
              <w:rPr>
                <w:color w:val="000000"/>
                <w:szCs w:val="21"/>
              </w:rPr>
            </w:pPr>
            <w:r>
              <w:fldChar w:fldCharType="begin"/>
            </w:r>
            <w:r>
              <w:instrText xml:space="preserve"> HYPERLINK "https://www.researchgate.net/profile/Jingchao_Li8?_iepl%5BviewId%5D=S069OYW1BgQ5njzqePhF6BWOrBIbwJ4H7iCw&amp;_iepl%5Bcontexts%5D%5B0%5D=prfhpi&amp;_iepl%5Bdata%5D%5BstandardItemCount%5D=2&amp;_iepl%5Bdata%5D%5BuserSelectedItemCount%5D=0&amp;_iepl%5Bdata%5D%5BtopHighlightCount%5D=2&amp;_iepl%5Bdata%5D%5BtopHighlightIndex%5D=2&amp;_iepl%5Bdata%5D%5BfeaturedItem1of2%5D=1&amp;_iepl%5BtargetEntityId%5D=PB%3A321341667&amp;_iepl%5BinteractionType%5D=publicationViewCoAuthorProfile" </w:instrText>
            </w:r>
            <w:r>
              <w:fldChar w:fldCharType="separate"/>
            </w:r>
            <w:r>
              <w:rPr>
                <w:color w:val="000000"/>
                <w:szCs w:val="21"/>
              </w:rPr>
              <w:t>Jingchao Li</w:t>
            </w:r>
            <w:r>
              <w:rPr>
                <w:color w:val="000000"/>
                <w:szCs w:val="21"/>
              </w:rPr>
              <w:fldChar w:fldCharType="end"/>
            </w:r>
            <w:r>
              <w:rPr>
                <w:rFonts w:hint="eastAsia"/>
                <w:color w:val="000000"/>
                <w:szCs w:val="21"/>
              </w:rPr>
              <w:t>（李靖超）</w:t>
            </w:r>
          </w:p>
        </w:tc>
        <w:tc>
          <w:tcPr>
            <w:tcW w:w="1093" w:type="dxa"/>
            <w:vAlign w:val="center"/>
          </w:tcPr>
          <w:p>
            <w:pPr>
              <w:spacing w:line="220" w:lineRule="exact"/>
              <w:jc w:val="center"/>
              <w:rPr>
                <w:color w:val="000000"/>
                <w:szCs w:val="21"/>
              </w:rPr>
            </w:pPr>
            <w:r>
              <w:rPr>
                <w:color w:val="000000"/>
                <w:szCs w:val="21"/>
              </w:rPr>
              <w:t>是</w:t>
            </w:r>
          </w:p>
        </w:tc>
        <w:tc>
          <w:tcPr>
            <w:tcW w:w="773"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1</w:t>
            </w:r>
          </w:p>
        </w:tc>
      </w:tr>
    </w:tbl>
    <w:p/>
    <w:p>
      <w:pPr>
        <w:numPr>
          <w:ilvl w:val="0"/>
          <w:numId w:val="1"/>
        </w:numPr>
        <w:rPr>
          <w:b/>
          <w:bCs/>
        </w:rPr>
      </w:pPr>
      <w:r>
        <w:rPr>
          <w:rFonts w:hint="eastAsia"/>
          <w:b/>
          <w:bCs/>
        </w:rPr>
        <w:t>主要完成单位</w:t>
      </w:r>
    </w:p>
    <w:p>
      <w:pPr>
        <w:rPr>
          <w:sz w:val="24"/>
        </w:rPr>
      </w:pPr>
      <w:r>
        <w:rPr>
          <w:sz w:val="24"/>
        </w:rPr>
        <w:t>1上海电机学院,2上海电力大学,3哈尔滨工程大学,4重庆群峰科技发展有限公司</w:t>
      </w:r>
    </w:p>
    <w:p>
      <w:pPr>
        <w:rPr>
          <w:sz w:val="24"/>
        </w:rPr>
      </w:pPr>
    </w:p>
    <w:p>
      <w:pPr>
        <w:numPr>
          <w:ilvl w:val="0"/>
          <w:numId w:val="1"/>
        </w:numPr>
        <w:rPr>
          <w:b/>
          <w:bCs/>
        </w:rPr>
      </w:pPr>
      <w:r>
        <w:rPr>
          <w:rFonts w:hint="eastAsia"/>
          <w:b/>
          <w:bCs/>
        </w:rPr>
        <w:t>主要完成人</w:t>
      </w:r>
    </w:p>
    <w:p>
      <w:pPr>
        <w:rPr>
          <w:sz w:val="24"/>
        </w:rPr>
      </w:pPr>
      <w:r>
        <w:rPr>
          <w:sz w:val="24"/>
        </w:rPr>
        <w:t>1李靖超,2应雨龙,3林云,4胡兰馨,5王致杰,6伍川,7计春雷,8候长波</w:t>
      </w:r>
    </w:p>
    <w:p>
      <w:pPr>
        <w:rPr>
          <w:sz w:val="24"/>
        </w:rPr>
      </w:pPr>
    </w:p>
    <w:p>
      <w:pPr>
        <w:numPr>
          <w:ilvl w:val="0"/>
          <w:numId w:val="1"/>
        </w:numPr>
        <w:rPr>
          <w:b/>
          <w:bCs/>
        </w:rPr>
      </w:pPr>
      <w:r>
        <w:rPr>
          <w:rFonts w:hint="eastAsia"/>
          <w:b/>
          <w:bCs/>
        </w:rPr>
        <w:t>新增直接经济效益</w:t>
      </w:r>
    </w:p>
    <w:tbl>
      <w:tblPr>
        <w:tblStyle w:val="4"/>
        <w:tblW w:w="9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347"/>
        <w:gridCol w:w="1597"/>
        <w:gridCol w:w="1587"/>
        <w:gridCol w:w="1575"/>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847" w:type="dxa"/>
            <w:tcBorders>
              <w:left w:val="single" w:color="auto" w:sz="12" w:space="0"/>
            </w:tcBorders>
            <w:vAlign w:val="center"/>
          </w:tcPr>
          <w:p>
            <w:pPr>
              <w:spacing w:line="360" w:lineRule="exact"/>
              <w:jc w:val="center"/>
              <w:rPr>
                <w:sz w:val="22"/>
                <w:szCs w:val="22"/>
              </w:rPr>
            </w:pPr>
            <w:r>
              <w:rPr>
                <w:rFonts w:hint="eastAsia" w:cs="宋体"/>
                <w:sz w:val="22"/>
                <w:szCs w:val="22"/>
              </w:rPr>
              <w:t>项目总投资额</w:t>
            </w:r>
          </w:p>
        </w:tc>
        <w:tc>
          <w:tcPr>
            <w:tcW w:w="4531" w:type="dxa"/>
            <w:gridSpan w:val="3"/>
            <w:vAlign w:val="center"/>
          </w:tcPr>
          <w:p>
            <w:pPr>
              <w:spacing w:line="360" w:lineRule="exact"/>
              <w:jc w:val="center"/>
              <w:rPr>
                <w:rFonts w:ascii="仿宋_GB2312" w:eastAsia="仿宋_GB2312"/>
                <w:color w:val="FF0000"/>
                <w:sz w:val="22"/>
                <w:szCs w:val="22"/>
              </w:rPr>
            </w:pPr>
            <w:r>
              <w:rPr>
                <w:rFonts w:hint="eastAsia" w:ascii="仿宋_GB2312" w:eastAsia="仿宋_GB2312"/>
                <w:sz w:val="22"/>
                <w:szCs w:val="22"/>
              </w:rPr>
              <w:t>3</w:t>
            </w:r>
            <w:r>
              <w:rPr>
                <w:rFonts w:ascii="仿宋_GB2312" w:eastAsia="仿宋_GB2312"/>
                <w:sz w:val="22"/>
                <w:szCs w:val="22"/>
              </w:rPr>
              <w:t>000</w:t>
            </w:r>
          </w:p>
        </w:tc>
        <w:tc>
          <w:tcPr>
            <w:tcW w:w="1575" w:type="dxa"/>
            <w:vAlign w:val="center"/>
          </w:tcPr>
          <w:p>
            <w:pPr>
              <w:spacing w:line="360" w:lineRule="exact"/>
              <w:jc w:val="center"/>
              <w:rPr>
                <w:rFonts w:ascii="宋体"/>
                <w:sz w:val="22"/>
                <w:szCs w:val="22"/>
              </w:rPr>
            </w:pPr>
            <w:r>
              <w:rPr>
                <w:rFonts w:hint="eastAsia" w:ascii="宋体" w:hAnsi="宋体" w:cs="宋体"/>
                <w:sz w:val="22"/>
                <w:szCs w:val="22"/>
              </w:rPr>
              <w:t>回收期</w:t>
            </w:r>
          </w:p>
        </w:tc>
        <w:tc>
          <w:tcPr>
            <w:tcW w:w="1629" w:type="dxa"/>
            <w:tcBorders>
              <w:right w:val="single" w:color="auto" w:sz="12" w:space="0"/>
            </w:tcBorders>
            <w:vAlign w:val="center"/>
          </w:tcPr>
          <w:p>
            <w:pPr>
              <w:spacing w:line="360" w:lineRule="exact"/>
              <w:jc w:val="center"/>
              <w:rPr>
                <w:rFonts w:ascii="仿宋_GB2312" w:eastAsia="仿宋_GB2312"/>
                <w:sz w:val="22"/>
                <w:szCs w:val="22"/>
              </w:rPr>
            </w:pPr>
            <w:r>
              <w:rPr>
                <w:rFonts w:ascii="仿宋_GB2312" w:eastAsia="仿宋_GB2312"/>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1847" w:type="dxa"/>
            <w:tcBorders>
              <w:left w:val="single" w:color="auto" w:sz="12" w:space="0"/>
            </w:tcBorders>
            <w:vAlign w:val="center"/>
          </w:tcPr>
          <w:p>
            <w:pPr>
              <w:spacing w:line="360" w:lineRule="exact"/>
              <w:jc w:val="center"/>
              <w:rPr>
                <w:sz w:val="22"/>
                <w:szCs w:val="22"/>
              </w:rPr>
            </w:pPr>
            <w:r>
              <w:rPr>
                <w:rFonts w:hint="eastAsia" w:cs="宋体"/>
                <w:sz w:val="22"/>
                <w:szCs w:val="22"/>
              </w:rPr>
              <w:t>年份</w:t>
            </w:r>
          </w:p>
        </w:tc>
        <w:tc>
          <w:tcPr>
            <w:tcW w:w="1347" w:type="dxa"/>
            <w:vAlign w:val="center"/>
          </w:tcPr>
          <w:p>
            <w:pPr>
              <w:spacing w:line="360" w:lineRule="exact"/>
              <w:jc w:val="center"/>
              <w:rPr>
                <w:sz w:val="22"/>
                <w:szCs w:val="22"/>
              </w:rPr>
            </w:pPr>
            <w:r>
              <w:rPr>
                <w:rFonts w:hint="eastAsia" w:cs="宋体"/>
                <w:sz w:val="22"/>
                <w:szCs w:val="22"/>
              </w:rPr>
              <w:t>新增产值</w:t>
            </w:r>
          </w:p>
        </w:tc>
        <w:tc>
          <w:tcPr>
            <w:tcW w:w="1597" w:type="dxa"/>
            <w:vAlign w:val="center"/>
          </w:tcPr>
          <w:p>
            <w:pPr>
              <w:spacing w:line="360" w:lineRule="exact"/>
              <w:jc w:val="center"/>
              <w:rPr>
                <w:sz w:val="22"/>
                <w:szCs w:val="22"/>
              </w:rPr>
            </w:pPr>
            <w:r>
              <w:rPr>
                <w:rFonts w:hint="eastAsia" w:cs="宋体"/>
                <w:sz w:val="22"/>
                <w:szCs w:val="22"/>
              </w:rPr>
              <w:t>新增利润</w:t>
            </w:r>
          </w:p>
        </w:tc>
        <w:tc>
          <w:tcPr>
            <w:tcW w:w="1587" w:type="dxa"/>
            <w:vAlign w:val="center"/>
          </w:tcPr>
          <w:p>
            <w:pPr>
              <w:spacing w:line="360" w:lineRule="exact"/>
              <w:jc w:val="center"/>
              <w:rPr>
                <w:sz w:val="22"/>
                <w:szCs w:val="22"/>
              </w:rPr>
            </w:pPr>
            <w:r>
              <w:rPr>
                <w:rFonts w:hint="eastAsia" w:cs="宋体"/>
                <w:sz w:val="22"/>
                <w:szCs w:val="22"/>
              </w:rPr>
              <w:t>新增税收</w:t>
            </w:r>
          </w:p>
        </w:tc>
        <w:tc>
          <w:tcPr>
            <w:tcW w:w="1575" w:type="dxa"/>
            <w:vAlign w:val="center"/>
          </w:tcPr>
          <w:p>
            <w:pPr>
              <w:spacing w:line="360" w:lineRule="exact"/>
              <w:jc w:val="center"/>
              <w:rPr>
                <w:rFonts w:cs="宋体"/>
                <w:sz w:val="22"/>
                <w:szCs w:val="22"/>
              </w:rPr>
            </w:pPr>
            <w:r>
              <w:rPr>
                <w:rFonts w:hint="eastAsia" w:cs="宋体"/>
                <w:sz w:val="22"/>
                <w:szCs w:val="22"/>
              </w:rPr>
              <w:t>创收外汇</w:t>
            </w:r>
          </w:p>
          <w:p>
            <w:pPr>
              <w:spacing w:line="360" w:lineRule="exact"/>
              <w:jc w:val="center"/>
              <w:rPr>
                <w:spacing w:val="-30"/>
                <w:sz w:val="22"/>
                <w:szCs w:val="22"/>
              </w:rPr>
            </w:pPr>
            <w:r>
              <w:rPr>
                <w:rFonts w:hint="eastAsia" w:cs="宋体"/>
                <w:sz w:val="22"/>
                <w:szCs w:val="22"/>
              </w:rPr>
              <w:t>（万美元）</w:t>
            </w:r>
          </w:p>
        </w:tc>
        <w:tc>
          <w:tcPr>
            <w:tcW w:w="1629" w:type="dxa"/>
            <w:tcBorders>
              <w:right w:val="single" w:color="auto" w:sz="12" w:space="0"/>
            </w:tcBorders>
            <w:vAlign w:val="center"/>
          </w:tcPr>
          <w:p>
            <w:pPr>
              <w:spacing w:line="360" w:lineRule="exact"/>
              <w:jc w:val="center"/>
              <w:rPr>
                <w:sz w:val="22"/>
                <w:szCs w:val="22"/>
              </w:rPr>
            </w:pPr>
            <w:r>
              <w:rPr>
                <w:rFonts w:hint="eastAsia" w:cs="宋体"/>
                <w:sz w:val="22"/>
                <w:szCs w:val="22"/>
              </w:rPr>
              <w:t>节约资金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847" w:type="dxa"/>
            <w:tcBorders>
              <w:left w:val="single" w:color="auto" w:sz="12" w:space="0"/>
            </w:tcBorders>
            <w:vAlign w:val="center"/>
          </w:tcPr>
          <w:p>
            <w:pPr>
              <w:spacing w:line="360" w:lineRule="exact"/>
              <w:jc w:val="center"/>
              <w:rPr>
                <w:rFonts w:ascii="仿宋_GB2312" w:eastAsia="仿宋_GB2312"/>
                <w:sz w:val="22"/>
                <w:szCs w:val="22"/>
              </w:rPr>
            </w:pPr>
            <w:r>
              <w:rPr>
                <w:rFonts w:hint="eastAsia" w:ascii="仿宋_GB2312" w:eastAsia="仿宋_GB2312"/>
                <w:sz w:val="22"/>
                <w:szCs w:val="22"/>
              </w:rPr>
              <w:t>2016</w:t>
            </w:r>
          </w:p>
        </w:tc>
        <w:tc>
          <w:tcPr>
            <w:tcW w:w="1347" w:type="dxa"/>
            <w:vAlign w:val="center"/>
          </w:tcPr>
          <w:p>
            <w:pPr>
              <w:wordWrap w:val="0"/>
              <w:spacing w:line="360" w:lineRule="exact"/>
              <w:ind w:right="15" w:rightChars="7"/>
              <w:jc w:val="center"/>
              <w:rPr>
                <w:rFonts w:ascii="仿宋_GB2312" w:eastAsia="仿宋_GB2312"/>
                <w:sz w:val="22"/>
                <w:szCs w:val="22"/>
              </w:rPr>
            </w:pPr>
            <w:r>
              <w:rPr>
                <w:rFonts w:hint="eastAsia" w:ascii="仿宋_GB2312" w:eastAsia="仿宋_GB2312"/>
                <w:sz w:val="22"/>
                <w:szCs w:val="22"/>
              </w:rPr>
              <w:t>550</w:t>
            </w:r>
          </w:p>
        </w:tc>
        <w:tc>
          <w:tcPr>
            <w:tcW w:w="1597" w:type="dxa"/>
            <w:vAlign w:val="center"/>
          </w:tcPr>
          <w:p>
            <w:pPr>
              <w:wordWrap w:val="0"/>
              <w:spacing w:line="360" w:lineRule="exact"/>
              <w:jc w:val="center"/>
              <w:rPr>
                <w:rFonts w:ascii="仿宋_GB2312" w:eastAsia="仿宋_GB2312"/>
                <w:sz w:val="22"/>
                <w:szCs w:val="22"/>
              </w:rPr>
            </w:pPr>
            <w:r>
              <w:rPr>
                <w:rFonts w:hint="eastAsia" w:ascii="仿宋_GB2312" w:eastAsia="仿宋_GB2312"/>
                <w:sz w:val="22"/>
                <w:szCs w:val="22"/>
              </w:rPr>
              <w:t>66</w:t>
            </w:r>
          </w:p>
        </w:tc>
        <w:tc>
          <w:tcPr>
            <w:tcW w:w="1587" w:type="dxa"/>
            <w:vAlign w:val="center"/>
          </w:tcPr>
          <w:p>
            <w:pPr>
              <w:wordWrap w:val="0"/>
              <w:spacing w:line="360" w:lineRule="exact"/>
              <w:jc w:val="center"/>
              <w:rPr>
                <w:rFonts w:ascii="仿宋_GB2312" w:eastAsia="仿宋_GB2312"/>
                <w:sz w:val="22"/>
                <w:szCs w:val="22"/>
              </w:rPr>
            </w:pPr>
            <w:r>
              <w:rPr>
                <w:rFonts w:hint="eastAsia" w:ascii="仿宋_GB2312" w:eastAsia="仿宋_GB2312"/>
                <w:sz w:val="22"/>
                <w:szCs w:val="22"/>
              </w:rPr>
              <w:t>16.5</w:t>
            </w:r>
          </w:p>
        </w:tc>
        <w:tc>
          <w:tcPr>
            <w:tcW w:w="1575" w:type="dxa"/>
            <w:vAlign w:val="center"/>
          </w:tcPr>
          <w:p>
            <w:pPr>
              <w:wordWrap w:val="0"/>
              <w:spacing w:line="360" w:lineRule="exact"/>
              <w:jc w:val="center"/>
              <w:rPr>
                <w:rFonts w:ascii="仿宋_GB2312" w:eastAsia="仿宋_GB2312"/>
                <w:spacing w:val="-30"/>
                <w:sz w:val="22"/>
                <w:szCs w:val="22"/>
              </w:rPr>
            </w:pPr>
            <w:r>
              <w:rPr>
                <w:rFonts w:hint="eastAsia" w:ascii="仿宋_GB2312" w:eastAsia="仿宋_GB2312"/>
                <w:spacing w:val="-30"/>
                <w:sz w:val="22"/>
                <w:szCs w:val="22"/>
              </w:rPr>
              <w:t>0</w:t>
            </w:r>
          </w:p>
        </w:tc>
        <w:tc>
          <w:tcPr>
            <w:tcW w:w="1629" w:type="dxa"/>
            <w:tcBorders>
              <w:right w:val="single" w:color="auto" w:sz="12" w:space="0"/>
            </w:tcBorders>
            <w:vAlign w:val="center"/>
          </w:tcPr>
          <w:p>
            <w:pPr>
              <w:wordWrap w:val="0"/>
              <w:spacing w:line="360" w:lineRule="exact"/>
              <w:jc w:val="center"/>
              <w:rPr>
                <w:rFonts w:ascii="仿宋_GB2312" w:eastAsia="仿宋_GB2312"/>
                <w:sz w:val="22"/>
                <w:szCs w:val="22"/>
              </w:rPr>
            </w:pPr>
            <w:r>
              <w:rPr>
                <w:rFonts w:hint="eastAsia" w:ascii="仿宋_GB2312" w:eastAsia="仿宋_GB2312"/>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847" w:type="dxa"/>
            <w:tcBorders>
              <w:left w:val="single" w:color="auto" w:sz="12" w:space="0"/>
            </w:tcBorders>
            <w:vAlign w:val="center"/>
          </w:tcPr>
          <w:p>
            <w:pPr>
              <w:spacing w:line="360" w:lineRule="exact"/>
              <w:jc w:val="center"/>
              <w:rPr>
                <w:rFonts w:ascii="仿宋_GB2312" w:eastAsia="仿宋_GB2312"/>
                <w:sz w:val="22"/>
                <w:szCs w:val="22"/>
              </w:rPr>
            </w:pPr>
            <w:r>
              <w:rPr>
                <w:rFonts w:hint="eastAsia" w:ascii="仿宋_GB2312" w:eastAsia="仿宋_GB2312"/>
                <w:sz w:val="22"/>
                <w:szCs w:val="22"/>
              </w:rPr>
              <w:t>2017</w:t>
            </w:r>
          </w:p>
        </w:tc>
        <w:tc>
          <w:tcPr>
            <w:tcW w:w="1347" w:type="dxa"/>
            <w:vAlign w:val="center"/>
          </w:tcPr>
          <w:p>
            <w:pPr>
              <w:wordWrap w:val="0"/>
              <w:spacing w:line="360" w:lineRule="exact"/>
              <w:jc w:val="center"/>
              <w:rPr>
                <w:rFonts w:ascii="仿宋_GB2312" w:eastAsia="仿宋_GB2312"/>
                <w:sz w:val="22"/>
                <w:szCs w:val="22"/>
              </w:rPr>
            </w:pPr>
            <w:r>
              <w:rPr>
                <w:rFonts w:hint="eastAsia" w:ascii="仿宋_GB2312" w:eastAsia="仿宋_GB2312"/>
                <w:sz w:val="22"/>
                <w:szCs w:val="22"/>
              </w:rPr>
              <w:t>680</w:t>
            </w:r>
          </w:p>
        </w:tc>
        <w:tc>
          <w:tcPr>
            <w:tcW w:w="1597" w:type="dxa"/>
            <w:vAlign w:val="center"/>
          </w:tcPr>
          <w:p>
            <w:pPr>
              <w:wordWrap w:val="0"/>
              <w:spacing w:line="360" w:lineRule="exact"/>
              <w:jc w:val="center"/>
              <w:rPr>
                <w:rFonts w:ascii="仿宋_GB2312" w:eastAsia="仿宋_GB2312"/>
                <w:sz w:val="22"/>
                <w:szCs w:val="22"/>
              </w:rPr>
            </w:pPr>
            <w:r>
              <w:rPr>
                <w:rFonts w:hint="eastAsia" w:ascii="仿宋_GB2312" w:eastAsia="仿宋_GB2312"/>
                <w:sz w:val="22"/>
                <w:szCs w:val="22"/>
              </w:rPr>
              <w:t>81.6</w:t>
            </w:r>
          </w:p>
        </w:tc>
        <w:tc>
          <w:tcPr>
            <w:tcW w:w="1587" w:type="dxa"/>
            <w:vAlign w:val="center"/>
          </w:tcPr>
          <w:p>
            <w:pPr>
              <w:wordWrap w:val="0"/>
              <w:spacing w:line="360" w:lineRule="exact"/>
              <w:jc w:val="center"/>
              <w:rPr>
                <w:rFonts w:ascii="仿宋_GB2312" w:eastAsia="仿宋_GB2312"/>
                <w:sz w:val="22"/>
                <w:szCs w:val="22"/>
              </w:rPr>
            </w:pPr>
            <w:r>
              <w:rPr>
                <w:rFonts w:hint="eastAsia" w:ascii="仿宋_GB2312" w:eastAsia="仿宋_GB2312"/>
                <w:sz w:val="22"/>
                <w:szCs w:val="22"/>
              </w:rPr>
              <w:t>20.4</w:t>
            </w:r>
          </w:p>
        </w:tc>
        <w:tc>
          <w:tcPr>
            <w:tcW w:w="1575" w:type="dxa"/>
            <w:vAlign w:val="center"/>
          </w:tcPr>
          <w:p>
            <w:pPr>
              <w:wordWrap w:val="0"/>
              <w:spacing w:line="360" w:lineRule="exact"/>
              <w:jc w:val="center"/>
              <w:rPr>
                <w:rFonts w:ascii="仿宋_GB2312" w:eastAsia="仿宋_GB2312"/>
                <w:spacing w:val="-30"/>
                <w:sz w:val="22"/>
                <w:szCs w:val="22"/>
              </w:rPr>
            </w:pPr>
            <w:r>
              <w:rPr>
                <w:rFonts w:hint="eastAsia" w:ascii="仿宋_GB2312" w:eastAsia="仿宋_GB2312"/>
                <w:spacing w:val="-30"/>
                <w:sz w:val="22"/>
                <w:szCs w:val="22"/>
              </w:rPr>
              <w:t>0</w:t>
            </w:r>
          </w:p>
        </w:tc>
        <w:tc>
          <w:tcPr>
            <w:tcW w:w="1629" w:type="dxa"/>
            <w:tcBorders>
              <w:right w:val="single" w:color="auto" w:sz="12" w:space="0"/>
            </w:tcBorders>
            <w:vAlign w:val="center"/>
          </w:tcPr>
          <w:p>
            <w:pPr>
              <w:wordWrap w:val="0"/>
              <w:spacing w:line="360" w:lineRule="exact"/>
              <w:jc w:val="center"/>
              <w:rPr>
                <w:rFonts w:ascii="仿宋_GB2312" w:eastAsia="仿宋_GB2312"/>
                <w:sz w:val="22"/>
                <w:szCs w:val="22"/>
              </w:rPr>
            </w:pPr>
            <w:r>
              <w:rPr>
                <w:rFonts w:hint="eastAsia" w:ascii="仿宋_GB2312" w:eastAsia="仿宋_GB2312"/>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847" w:type="dxa"/>
            <w:tcBorders>
              <w:left w:val="single" w:color="auto" w:sz="12" w:space="0"/>
              <w:bottom w:val="single" w:color="auto" w:sz="2" w:space="0"/>
            </w:tcBorders>
            <w:vAlign w:val="center"/>
          </w:tcPr>
          <w:p>
            <w:pPr>
              <w:spacing w:line="360" w:lineRule="exact"/>
              <w:jc w:val="center"/>
              <w:rPr>
                <w:rFonts w:ascii="仿宋_GB2312" w:eastAsia="仿宋_GB2312"/>
                <w:sz w:val="22"/>
                <w:szCs w:val="22"/>
              </w:rPr>
            </w:pPr>
            <w:r>
              <w:rPr>
                <w:rFonts w:hint="eastAsia" w:ascii="仿宋_GB2312" w:eastAsia="仿宋_GB2312"/>
                <w:sz w:val="22"/>
                <w:szCs w:val="22"/>
              </w:rPr>
              <w:t>2018</w:t>
            </w:r>
          </w:p>
        </w:tc>
        <w:tc>
          <w:tcPr>
            <w:tcW w:w="1347" w:type="dxa"/>
            <w:tcBorders>
              <w:bottom w:val="single" w:color="auto" w:sz="2" w:space="0"/>
            </w:tcBorders>
            <w:vAlign w:val="center"/>
          </w:tcPr>
          <w:p>
            <w:pPr>
              <w:wordWrap w:val="0"/>
              <w:spacing w:line="360" w:lineRule="exact"/>
              <w:jc w:val="center"/>
              <w:rPr>
                <w:rFonts w:ascii="仿宋_GB2312" w:eastAsia="仿宋_GB2312"/>
                <w:sz w:val="22"/>
                <w:szCs w:val="22"/>
              </w:rPr>
            </w:pPr>
            <w:r>
              <w:rPr>
                <w:rFonts w:hint="eastAsia" w:ascii="仿宋_GB2312" w:eastAsia="仿宋_GB2312"/>
                <w:sz w:val="22"/>
                <w:szCs w:val="22"/>
              </w:rPr>
              <w:t>850</w:t>
            </w:r>
          </w:p>
        </w:tc>
        <w:tc>
          <w:tcPr>
            <w:tcW w:w="1597" w:type="dxa"/>
            <w:tcBorders>
              <w:bottom w:val="single" w:color="auto" w:sz="2" w:space="0"/>
            </w:tcBorders>
            <w:vAlign w:val="center"/>
          </w:tcPr>
          <w:p>
            <w:pPr>
              <w:wordWrap w:val="0"/>
              <w:spacing w:line="360" w:lineRule="exact"/>
              <w:jc w:val="center"/>
              <w:rPr>
                <w:rFonts w:ascii="仿宋_GB2312" w:eastAsia="仿宋_GB2312"/>
                <w:sz w:val="22"/>
                <w:szCs w:val="22"/>
              </w:rPr>
            </w:pPr>
            <w:r>
              <w:rPr>
                <w:rFonts w:hint="eastAsia" w:ascii="仿宋_GB2312" w:eastAsia="仿宋_GB2312"/>
                <w:sz w:val="22"/>
                <w:szCs w:val="22"/>
              </w:rPr>
              <w:t>102</w:t>
            </w:r>
          </w:p>
        </w:tc>
        <w:tc>
          <w:tcPr>
            <w:tcW w:w="1587" w:type="dxa"/>
            <w:tcBorders>
              <w:bottom w:val="single" w:color="auto" w:sz="2" w:space="0"/>
            </w:tcBorders>
            <w:vAlign w:val="center"/>
          </w:tcPr>
          <w:p>
            <w:pPr>
              <w:wordWrap w:val="0"/>
              <w:spacing w:line="360" w:lineRule="exact"/>
              <w:jc w:val="center"/>
              <w:rPr>
                <w:rFonts w:ascii="仿宋_GB2312" w:eastAsia="仿宋_GB2312"/>
                <w:sz w:val="22"/>
                <w:szCs w:val="22"/>
              </w:rPr>
            </w:pPr>
            <w:r>
              <w:rPr>
                <w:rFonts w:hint="eastAsia" w:ascii="仿宋_GB2312" w:eastAsia="仿宋_GB2312"/>
                <w:sz w:val="22"/>
                <w:szCs w:val="22"/>
              </w:rPr>
              <w:t>25.5</w:t>
            </w:r>
          </w:p>
        </w:tc>
        <w:tc>
          <w:tcPr>
            <w:tcW w:w="1575" w:type="dxa"/>
            <w:tcBorders>
              <w:bottom w:val="single" w:color="auto" w:sz="2" w:space="0"/>
            </w:tcBorders>
            <w:vAlign w:val="center"/>
          </w:tcPr>
          <w:p>
            <w:pPr>
              <w:wordWrap w:val="0"/>
              <w:spacing w:line="360" w:lineRule="exact"/>
              <w:jc w:val="center"/>
              <w:rPr>
                <w:rFonts w:ascii="仿宋_GB2312" w:eastAsia="仿宋_GB2312"/>
                <w:spacing w:val="-30"/>
                <w:sz w:val="22"/>
                <w:szCs w:val="22"/>
              </w:rPr>
            </w:pPr>
            <w:r>
              <w:rPr>
                <w:rFonts w:hint="eastAsia" w:ascii="仿宋_GB2312" w:eastAsia="仿宋_GB2312"/>
                <w:spacing w:val="-30"/>
                <w:sz w:val="22"/>
                <w:szCs w:val="22"/>
              </w:rPr>
              <w:t>0</w:t>
            </w:r>
          </w:p>
        </w:tc>
        <w:tc>
          <w:tcPr>
            <w:tcW w:w="1629" w:type="dxa"/>
            <w:tcBorders>
              <w:bottom w:val="single" w:color="auto" w:sz="2" w:space="0"/>
              <w:right w:val="single" w:color="auto" w:sz="12" w:space="0"/>
            </w:tcBorders>
            <w:vAlign w:val="center"/>
          </w:tcPr>
          <w:p>
            <w:pPr>
              <w:wordWrap w:val="0"/>
              <w:spacing w:line="360" w:lineRule="exact"/>
              <w:jc w:val="center"/>
              <w:rPr>
                <w:rFonts w:ascii="仿宋_GB2312" w:eastAsia="仿宋_GB2312"/>
                <w:sz w:val="22"/>
                <w:szCs w:val="22"/>
              </w:rPr>
            </w:pPr>
            <w:r>
              <w:rPr>
                <w:rFonts w:hint="eastAsia" w:ascii="仿宋_GB2312" w:eastAsia="仿宋_GB2312"/>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847" w:type="dxa"/>
            <w:tcBorders>
              <w:top w:val="single" w:color="auto" w:sz="2" w:space="0"/>
              <w:left w:val="single" w:color="auto" w:sz="12" w:space="0"/>
            </w:tcBorders>
            <w:vAlign w:val="center"/>
          </w:tcPr>
          <w:p>
            <w:pPr>
              <w:spacing w:line="360" w:lineRule="exact"/>
              <w:jc w:val="center"/>
              <w:rPr>
                <w:rFonts w:ascii="楷体_GB2312"/>
                <w:sz w:val="22"/>
                <w:szCs w:val="22"/>
              </w:rPr>
            </w:pPr>
            <w:r>
              <w:rPr>
                <w:rFonts w:hint="eastAsia" w:ascii="楷体_GB2312" w:cs="宋体"/>
                <w:sz w:val="22"/>
                <w:szCs w:val="22"/>
              </w:rPr>
              <w:t>累计</w:t>
            </w:r>
          </w:p>
        </w:tc>
        <w:tc>
          <w:tcPr>
            <w:tcW w:w="1347" w:type="dxa"/>
            <w:tcBorders>
              <w:top w:val="single" w:color="auto" w:sz="2" w:space="0"/>
            </w:tcBorders>
            <w:vAlign w:val="center"/>
          </w:tcPr>
          <w:p>
            <w:pPr>
              <w:wordWrap w:val="0"/>
              <w:spacing w:line="360" w:lineRule="exact"/>
              <w:jc w:val="center"/>
              <w:rPr>
                <w:rFonts w:ascii="仿宋_GB2312" w:eastAsia="仿宋_GB2312"/>
                <w:sz w:val="22"/>
                <w:szCs w:val="22"/>
              </w:rPr>
            </w:pPr>
            <w:r>
              <w:rPr>
                <w:rFonts w:hint="eastAsia" w:ascii="仿宋_GB2312" w:eastAsia="仿宋_GB2312"/>
                <w:sz w:val="22"/>
                <w:szCs w:val="22"/>
              </w:rPr>
              <w:t>2080</w:t>
            </w:r>
          </w:p>
        </w:tc>
        <w:tc>
          <w:tcPr>
            <w:tcW w:w="1597" w:type="dxa"/>
            <w:tcBorders>
              <w:top w:val="single" w:color="auto" w:sz="2" w:space="0"/>
            </w:tcBorders>
            <w:vAlign w:val="center"/>
          </w:tcPr>
          <w:p>
            <w:pPr>
              <w:wordWrap w:val="0"/>
              <w:spacing w:line="360" w:lineRule="exact"/>
              <w:jc w:val="center"/>
              <w:rPr>
                <w:rFonts w:ascii="仿宋_GB2312" w:eastAsia="仿宋_GB2312"/>
                <w:sz w:val="22"/>
                <w:szCs w:val="22"/>
              </w:rPr>
            </w:pPr>
            <w:r>
              <w:rPr>
                <w:rFonts w:hint="eastAsia" w:ascii="仿宋_GB2312" w:eastAsia="仿宋_GB2312"/>
                <w:sz w:val="22"/>
                <w:szCs w:val="22"/>
              </w:rPr>
              <w:t>249.6</w:t>
            </w:r>
          </w:p>
        </w:tc>
        <w:tc>
          <w:tcPr>
            <w:tcW w:w="1587" w:type="dxa"/>
            <w:tcBorders>
              <w:top w:val="single" w:color="auto" w:sz="2" w:space="0"/>
            </w:tcBorders>
            <w:vAlign w:val="center"/>
          </w:tcPr>
          <w:p>
            <w:pPr>
              <w:wordWrap w:val="0"/>
              <w:spacing w:line="360" w:lineRule="exact"/>
              <w:jc w:val="center"/>
              <w:rPr>
                <w:rFonts w:ascii="仿宋_GB2312" w:eastAsia="仿宋_GB2312"/>
                <w:sz w:val="22"/>
                <w:szCs w:val="22"/>
              </w:rPr>
            </w:pPr>
            <w:r>
              <w:rPr>
                <w:rFonts w:hint="eastAsia" w:ascii="仿宋_GB2312" w:eastAsia="仿宋_GB2312"/>
                <w:sz w:val="22"/>
                <w:szCs w:val="22"/>
              </w:rPr>
              <w:t>62.4</w:t>
            </w:r>
          </w:p>
        </w:tc>
        <w:tc>
          <w:tcPr>
            <w:tcW w:w="1575" w:type="dxa"/>
            <w:tcBorders>
              <w:top w:val="single" w:color="auto" w:sz="2" w:space="0"/>
            </w:tcBorders>
            <w:vAlign w:val="center"/>
          </w:tcPr>
          <w:p>
            <w:pPr>
              <w:wordWrap w:val="0"/>
              <w:spacing w:line="360" w:lineRule="exact"/>
              <w:jc w:val="center"/>
              <w:rPr>
                <w:rFonts w:ascii="仿宋_GB2312" w:eastAsia="仿宋_GB2312"/>
                <w:spacing w:val="-30"/>
                <w:sz w:val="22"/>
                <w:szCs w:val="22"/>
              </w:rPr>
            </w:pPr>
            <w:r>
              <w:rPr>
                <w:rFonts w:hint="eastAsia" w:ascii="仿宋_GB2312" w:eastAsia="仿宋_GB2312"/>
                <w:spacing w:val="-30"/>
                <w:sz w:val="22"/>
                <w:szCs w:val="22"/>
              </w:rPr>
              <w:t>0</w:t>
            </w:r>
          </w:p>
        </w:tc>
        <w:tc>
          <w:tcPr>
            <w:tcW w:w="1629" w:type="dxa"/>
            <w:tcBorders>
              <w:top w:val="single" w:color="auto" w:sz="2" w:space="0"/>
              <w:right w:val="single" w:color="auto" w:sz="12" w:space="0"/>
            </w:tcBorders>
            <w:vAlign w:val="center"/>
          </w:tcPr>
          <w:p>
            <w:pPr>
              <w:wordWrap w:val="0"/>
              <w:spacing w:line="360" w:lineRule="exact"/>
              <w:jc w:val="center"/>
              <w:rPr>
                <w:rFonts w:ascii="仿宋_GB2312" w:eastAsia="仿宋_GB2312"/>
                <w:sz w:val="22"/>
                <w:szCs w:val="22"/>
              </w:rPr>
            </w:pPr>
            <w:r>
              <w:rPr>
                <w:rFonts w:hint="eastAsia" w:ascii="仿宋_GB2312" w:eastAsia="仿宋_GB2312"/>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exact"/>
          <w:jc w:val="center"/>
        </w:trPr>
        <w:tc>
          <w:tcPr>
            <w:tcW w:w="9582" w:type="dxa"/>
            <w:gridSpan w:val="6"/>
            <w:tcBorders>
              <w:left w:val="single" w:color="auto" w:sz="12" w:space="0"/>
              <w:bottom w:val="nil"/>
              <w:right w:val="single" w:color="auto" w:sz="12" w:space="0"/>
            </w:tcBorders>
          </w:tcPr>
          <w:p>
            <w:pPr>
              <w:spacing w:line="360" w:lineRule="exact"/>
              <w:rPr>
                <w:rFonts w:ascii="宋体" w:hAnsi="宋体"/>
                <w:sz w:val="22"/>
                <w:szCs w:val="22"/>
              </w:rPr>
            </w:pPr>
            <w:r>
              <w:rPr>
                <w:rFonts w:hint="eastAsia" w:ascii="宋体" w:hAnsi="宋体" w:cs="黑体"/>
                <w:sz w:val="22"/>
                <w:szCs w:val="22"/>
              </w:rPr>
              <w:t>经济效益额的计算依据：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1" w:hRule="exact"/>
          <w:jc w:val="center"/>
        </w:trPr>
        <w:tc>
          <w:tcPr>
            <w:tcW w:w="9582" w:type="dxa"/>
            <w:gridSpan w:val="6"/>
            <w:tcBorders>
              <w:top w:val="nil"/>
              <w:left w:val="single" w:color="auto" w:sz="12" w:space="0"/>
              <w:right w:val="single" w:color="auto" w:sz="12" w:space="0"/>
            </w:tcBorders>
          </w:tcPr>
          <w:p>
            <w:pPr>
              <w:spacing w:line="360" w:lineRule="exact"/>
              <w:ind w:firstLine="420" w:firstLineChars="200"/>
              <w:rPr>
                <w:rFonts w:ascii="仿宋_GB2312" w:hAnsi="仿宋" w:eastAsia="仿宋_GB2312"/>
                <w:sz w:val="24"/>
              </w:rPr>
            </w:pPr>
            <w:r>
              <w:rPr>
                <w:rFonts w:hint="eastAsia"/>
              </w:rPr>
              <w:t>近三年来，重庆群峰科技发展有限公司采用了本项目的相关技术，有效地解决了在园区物业建筑的过程中，由于设计、施工和监理环节的不完善所引发的质量隐患，显著降低了施工成本与维护成本。2016年，新增产值55万元，新增利润66万元，新增税收16.5万元，2017年，新增产值680万元，新增利润81.6万元，新增税收20.4万元，2018年，新增产值850万元，新增利润102万元，新增税收25.5万元。</w:t>
            </w:r>
          </w:p>
        </w:tc>
      </w:tr>
    </w:tbl>
    <w:p/>
    <w:p>
      <w:pPr>
        <w:numPr>
          <w:ilvl w:val="0"/>
          <w:numId w:val="1"/>
        </w:numPr>
        <w:rPr>
          <w:b/>
          <w:bCs/>
        </w:rPr>
      </w:pPr>
      <w:r>
        <w:rPr>
          <w:rFonts w:hint="eastAsia"/>
          <w:b/>
          <w:bCs/>
        </w:rPr>
        <w:t>提名者</w:t>
      </w:r>
    </w:p>
    <w:p>
      <w:r>
        <w:rPr>
          <w:rFonts w:hint="eastAsia"/>
        </w:rPr>
        <w:t>上海市教育委员会</w:t>
      </w:r>
    </w:p>
    <w:p/>
    <w:p>
      <w:pPr>
        <w:numPr>
          <w:ilvl w:val="0"/>
          <w:numId w:val="1"/>
        </w:numPr>
        <w:rPr>
          <w:b/>
          <w:bCs/>
        </w:rPr>
      </w:pPr>
      <w:r>
        <w:rPr>
          <w:rFonts w:hint="eastAsia"/>
          <w:b/>
          <w:bCs/>
        </w:rPr>
        <w:t>提名等级</w:t>
      </w:r>
    </w:p>
    <w:p>
      <w:r>
        <w:rPr>
          <w:rFonts w:hint="eastAsia"/>
        </w:rPr>
        <w:t>2019年度上海市科学技术奖科技进步奖三等奖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B2AF"/>
    <w:multiLevelType w:val="singleLevel"/>
    <w:tmpl w:val="003CB2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74FC4"/>
    <w:rsid w:val="000E1F07"/>
    <w:rsid w:val="00134BA8"/>
    <w:rsid w:val="001406F5"/>
    <w:rsid w:val="00231D9E"/>
    <w:rsid w:val="002E0727"/>
    <w:rsid w:val="004D276B"/>
    <w:rsid w:val="00512D15"/>
    <w:rsid w:val="00563BE2"/>
    <w:rsid w:val="005902D6"/>
    <w:rsid w:val="005C0679"/>
    <w:rsid w:val="00AA6AEF"/>
    <w:rsid w:val="00AF10A0"/>
    <w:rsid w:val="00BA7A7C"/>
    <w:rsid w:val="00C3424A"/>
    <w:rsid w:val="00D87A73"/>
    <w:rsid w:val="00F20B02"/>
    <w:rsid w:val="00F94B0F"/>
    <w:rsid w:val="04B5719B"/>
    <w:rsid w:val="6F674FC4"/>
    <w:rsid w:val="73424715"/>
    <w:rsid w:val="74590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4</Pages>
  <Words>2244</Words>
  <Characters>12795</Characters>
  <Lines>106</Lines>
  <Paragraphs>30</Paragraphs>
  <TotalTime>151</TotalTime>
  <ScaleCrop>false</ScaleCrop>
  <LinksUpToDate>false</LinksUpToDate>
  <CharactersWithSpaces>15009</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2019-05-06T02:24:00Z</dcterms:created>
  <dc:creator>fh</dc:creator>
  <cp:lastModifiedBy>fh</cp:lastModifiedBy>
  <dcterms:modified xsi:type="dcterms:W3CDTF">2019-05-07T05:16:25Z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