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24"/>
        </w:rPr>
      </w:pPr>
      <w:r>
        <w:rPr>
          <w:rFonts w:hint="eastAsia"/>
          <w:color w:val="000000"/>
          <w:sz w:val="24"/>
        </w:rPr>
        <w:t>附件1</w:t>
      </w:r>
    </w:p>
    <w:p>
      <w:pPr>
        <w:spacing w:line="360" w:lineRule="auto"/>
        <w:jc w:val="center"/>
        <w:rPr>
          <w:b/>
          <w:color w:val="000000"/>
          <w:sz w:val="36"/>
          <w:szCs w:val="36"/>
        </w:rPr>
      </w:pPr>
      <w:r>
        <w:rPr>
          <w:b/>
          <w:bCs/>
          <w:color w:val="000000"/>
          <w:sz w:val="36"/>
          <w:szCs w:val="36"/>
        </w:rPr>
        <w:t>2018</w:t>
      </w:r>
      <w:r>
        <w:rPr>
          <w:rFonts w:hint="eastAsia"/>
          <w:b/>
          <w:bCs/>
          <w:color w:val="000000"/>
          <w:sz w:val="36"/>
          <w:szCs w:val="36"/>
        </w:rPr>
        <w:t>上海电气“数字化技术”大奖赛</w:t>
      </w:r>
    </w:p>
    <w:p>
      <w:pPr>
        <w:spacing w:line="360" w:lineRule="auto"/>
        <w:jc w:val="center"/>
        <w:rPr>
          <w:b/>
          <w:bCs/>
          <w:color w:val="000000"/>
          <w:sz w:val="28"/>
          <w:szCs w:val="28"/>
        </w:rPr>
      </w:pPr>
      <w:bookmarkStart w:id="0" w:name="_GoBack"/>
      <w:r>
        <w:rPr>
          <w:rFonts w:hint="eastAsia"/>
          <w:b/>
          <w:bCs/>
          <w:color w:val="000000"/>
          <w:sz w:val="28"/>
          <w:szCs w:val="28"/>
        </w:rPr>
        <w:t>团体项目赛与“数字化工匠”项目实施赛参赛要求</w:t>
      </w:r>
    </w:p>
    <w:bookmarkEnd w:id="0"/>
    <w:p>
      <w:pPr>
        <w:spacing w:line="360" w:lineRule="auto"/>
        <w:ind w:left="900" w:leftChars="200" w:hanging="480" w:hangingChars="200"/>
        <w:rPr>
          <w:color w:val="000000"/>
          <w:sz w:val="24"/>
        </w:rPr>
      </w:pPr>
      <w:r>
        <w:rPr>
          <w:rFonts w:hint="eastAsia"/>
          <w:color w:val="000000"/>
          <w:sz w:val="24"/>
        </w:rPr>
        <w:t>一．本次大奖赛的团体项目赛以小组为单位，每个小组人数限定在2</w:t>
      </w:r>
      <w:r>
        <w:rPr>
          <w:color w:val="000000"/>
          <w:sz w:val="24"/>
        </w:rPr>
        <w:t>-5</w:t>
      </w:r>
      <w:r>
        <w:rPr>
          <w:rFonts w:hint="eastAsia"/>
          <w:color w:val="000000"/>
          <w:sz w:val="24"/>
        </w:rPr>
        <w:t>人（含5人</w:t>
      </w:r>
      <w:r>
        <w:rPr>
          <w:color w:val="000000"/>
          <w:sz w:val="24"/>
        </w:rPr>
        <w:t>）</w:t>
      </w:r>
      <w:r>
        <w:rPr>
          <w:rFonts w:hint="eastAsia"/>
          <w:color w:val="000000"/>
          <w:sz w:val="24"/>
        </w:rPr>
        <w:t>。</w:t>
      </w:r>
    </w:p>
    <w:p>
      <w:pPr>
        <w:spacing w:line="360" w:lineRule="auto"/>
        <w:ind w:left="899" w:leftChars="428"/>
        <w:rPr>
          <w:color w:val="000000"/>
          <w:sz w:val="24"/>
        </w:rPr>
      </w:pPr>
      <w:r>
        <w:rPr>
          <w:rFonts w:hint="eastAsia"/>
          <w:bCs/>
          <w:color w:val="000000"/>
          <w:sz w:val="24"/>
        </w:rPr>
        <w:t>“数字化工匠”项目实施赛</w:t>
      </w:r>
      <w:r>
        <w:rPr>
          <w:rFonts w:hint="eastAsia"/>
          <w:color w:val="000000"/>
          <w:sz w:val="24"/>
        </w:rPr>
        <w:t>由个人或项目小组两种形式参赛，项目小组人数限定在</w:t>
      </w:r>
      <w:r>
        <w:rPr>
          <w:color w:val="000000"/>
          <w:sz w:val="24"/>
        </w:rPr>
        <w:t>5</w:t>
      </w:r>
      <w:r>
        <w:rPr>
          <w:rFonts w:hint="eastAsia"/>
          <w:color w:val="000000"/>
          <w:sz w:val="24"/>
        </w:rPr>
        <w:t>人以内（含5人</w:t>
      </w:r>
      <w:r>
        <w:rPr>
          <w:color w:val="000000"/>
          <w:sz w:val="24"/>
        </w:rPr>
        <w:t>）</w:t>
      </w:r>
      <w:r>
        <w:rPr>
          <w:rFonts w:hint="eastAsia"/>
          <w:color w:val="000000"/>
          <w:sz w:val="24"/>
        </w:rPr>
        <w:t>。</w:t>
      </w:r>
    </w:p>
    <w:p>
      <w:pPr>
        <w:spacing w:line="360" w:lineRule="auto"/>
        <w:ind w:left="959" w:leftChars="228" w:hanging="480" w:hangingChars="200"/>
        <w:rPr>
          <w:color w:val="000000"/>
          <w:sz w:val="24"/>
        </w:rPr>
      </w:pPr>
      <w:r>
        <w:rPr>
          <w:rFonts w:hint="eastAsia"/>
          <w:color w:val="000000"/>
          <w:sz w:val="24"/>
        </w:rPr>
        <w:t>二．每个参赛小组可以选择比赛规定软件中的任意一种或几种来完成项目。团体项目赛提交的作品数目不限；</w:t>
      </w:r>
      <w:r>
        <w:rPr>
          <w:rFonts w:hint="eastAsia"/>
          <w:bCs/>
          <w:color w:val="000000"/>
          <w:sz w:val="24"/>
        </w:rPr>
        <w:t>“数字化工匠”项目实施赛</w:t>
      </w:r>
      <w:r>
        <w:rPr>
          <w:rFonts w:hint="eastAsia"/>
          <w:color w:val="000000"/>
          <w:sz w:val="24"/>
        </w:rPr>
        <w:t>由大奖赛组委会统一命题，参赛者须在比赛规定的范围内选取所应用软件，题目和具体要求于报名结束后公布，在投稿截止日期前将完成的设计稿上传到e+数字化创新平台。</w:t>
      </w:r>
    </w:p>
    <w:p>
      <w:pPr>
        <w:spacing w:line="360" w:lineRule="auto"/>
        <w:ind w:firstLine="480" w:firstLineChars="200"/>
        <w:rPr>
          <w:color w:val="000000"/>
          <w:sz w:val="24"/>
        </w:rPr>
      </w:pPr>
      <w:r>
        <w:rPr>
          <w:rFonts w:hint="eastAsia"/>
          <w:color w:val="000000"/>
          <w:sz w:val="24"/>
        </w:rPr>
        <w:t>三．提交的作品文件包含以下</w:t>
      </w:r>
      <w:r>
        <w:rPr>
          <w:color w:val="000000"/>
          <w:sz w:val="24"/>
        </w:rPr>
        <w:t>内容</w:t>
      </w:r>
      <w:r>
        <w:rPr>
          <w:rFonts w:hint="eastAsia"/>
          <w:color w:val="000000"/>
          <w:sz w:val="24"/>
        </w:rPr>
        <w:t>：</w:t>
      </w:r>
    </w:p>
    <w:p>
      <w:pPr>
        <w:numPr>
          <w:ilvl w:val="0"/>
          <w:numId w:val="1"/>
        </w:numPr>
        <w:spacing w:line="360" w:lineRule="auto"/>
        <w:rPr>
          <w:color w:val="000000"/>
          <w:sz w:val="24"/>
        </w:rPr>
      </w:pPr>
      <w:r>
        <w:rPr>
          <w:color w:val="000000"/>
          <w:sz w:val="24"/>
        </w:rPr>
        <w:t>更新报名信息</w:t>
      </w:r>
      <w:r>
        <w:rPr>
          <w:rFonts w:hint="eastAsia"/>
          <w:color w:val="000000"/>
          <w:sz w:val="24"/>
        </w:rPr>
        <w:t>（若有）</w:t>
      </w:r>
    </w:p>
    <w:p>
      <w:pPr>
        <w:numPr>
          <w:ilvl w:val="0"/>
          <w:numId w:val="1"/>
        </w:numPr>
        <w:spacing w:line="360" w:lineRule="auto"/>
        <w:rPr>
          <w:color w:val="000000"/>
          <w:sz w:val="24"/>
        </w:rPr>
      </w:pPr>
      <w:r>
        <w:rPr>
          <w:rFonts w:hint="eastAsia"/>
          <w:color w:val="000000"/>
          <w:sz w:val="24"/>
        </w:rPr>
        <w:t>上传盖本单位工会章的电子报名表（JPG或PDF）</w:t>
      </w:r>
    </w:p>
    <w:p>
      <w:pPr>
        <w:numPr>
          <w:ilvl w:val="0"/>
          <w:numId w:val="1"/>
        </w:numPr>
        <w:spacing w:line="360" w:lineRule="auto"/>
        <w:rPr>
          <w:color w:val="000000"/>
          <w:sz w:val="24"/>
        </w:rPr>
      </w:pPr>
      <w:r>
        <w:rPr>
          <w:rFonts w:hint="eastAsia"/>
          <w:color w:val="000000"/>
          <w:sz w:val="24"/>
        </w:rPr>
        <w:t>产品CAD模型</w:t>
      </w:r>
    </w:p>
    <w:p>
      <w:pPr>
        <w:numPr>
          <w:ilvl w:val="0"/>
          <w:numId w:val="1"/>
        </w:numPr>
        <w:spacing w:line="360" w:lineRule="auto"/>
        <w:rPr>
          <w:color w:val="000000"/>
          <w:sz w:val="24"/>
        </w:rPr>
      </w:pPr>
      <w:r>
        <w:rPr>
          <w:color w:val="000000"/>
          <w:sz w:val="24"/>
        </w:rPr>
        <w:t>CAE</w:t>
      </w:r>
      <w:r>
        <w:rPr>
          <w:rFonts w:hint="eastAsia"/>
          <w:color w:val="000000"/>
          <w:sz w:val="24"/>
        </w:rPr>
        <w:t>软件进行的相关分析内容</w:t>
      </w:r>
    </w:p>
    <w:p>
      <w:pPr>
        <w:numPr>
          <w:ilvl w:val="0"/>
          <w:numId w:val="1"/>
        </w:numPr>
        <w:spacing w:line="360" w:lineRule="auto"/>
        <w:rPr>
          <w:color w:val="000000"/>
          <w:sz w:val="24"/>
        </w:rPr>
      </w:pPr>
      <w:r>
        <w:rPr>
          <w:color w:val="000000"/>
          <w:sz w:val="24"/>
        </w:rPr>
        <w:t>动画</w:t>
      </w:r>
      <w:r>
        <w:rPr>
          <w:rFonts w:hint="eastAsia"/>
          <w:color w:val="000000"/>
          <w:sz w:val="24"/>
        </w:rPr>
        <w:t>（装配</w:t>
      </w:r>
      <w:r>
        <w:rPr>
          <w:color w:val="000000"/>
          <w:sz w:val="24"/>
        </w:rPr>
        <w:t>、分析或</w:t>
      </w:r>
      <w:r>
        <w:rPr>
          <w:rFonts w:hint="eastAsia"/>
          <w:color w:val="000000"/>
          <w:sz w:val="24"/>
        </w:rPr>
        <w:t>其他工业</w:t>
      </w:r>
      <w:r>
        <w:rPr>
          <w:color w:val="000000"/>
          <w:sz w:val="24"/>
        </w:rPr>
        <w:t>造型及</w:t>
      </w:r>
      <w:r>
        <w:rPr>
          <w:rFonts w:hint="eastAsia"/>
          <w:color w:val="000000"/>
          <w:sz w:val="24"/>
        </w:rPr>
        <w:t>外形视觉）</w:t>
      </w:r>
    </w:p>
    <w:p>
      <w:pPr>
        <w:numPr>
          <w:ilvl w:val="0"/>
          <w:numId w:val="1"/>
        </w:numPr>
        <w:spacing w:line="360" w:lineRule="auto"/>
        <w:rPr>
          <w:color w:val="000000"/>
          <w:sz w:val="24"/>
        </w:rPr>
      </w:pPr>
      <w:r>
        <w:rPr>
          <w:color w:val="000000"/>
          <w:sz w:val="24"/>
        </w:rPr>
        <w:t>PPT</w:t>
      </w:r>
      <w:r>
        <w:rPr>
          <w:rFonts w:hint="eastAsia"/>
          <w:color w:val="000000"/>
          <w:sz w:val="24"/>
        </w:rPr>
        <w:t>介绍</w:t>
      </w:r>
      <w:r>
        <w:rPr>
          <w:rFonts w:hint="eastAsia" w:ascii="宋体" w:hAnsi="宋体"/>
          <w:color w:val="000000"/>
          <w:sz w:val="24"/>
        </w:rPr>
        <w:t>（</w:t>
      </w:r>
      <w:r>
        <w:rPr>
          <w:rFonts w:ascii="宋体" w:hAnsi="宋体"/>
          <w:bCs/>
          <w:color w:val="000000"/>
          <w:sz w:val="24"/>
        </w:rPr>
        <w:t>15</w:t>
      </w:r>
      <w:r>
        <w:rPr>
          <w:rFonts w:hint="eastAsia" w:ascii="宋体" w:hAnsi="宋体"/>
          <w:bCs/>
          <w:color w:val="000000"/>
          <w:sz w:val="24"/>
        </w:rPr>
        <w:t>分钟展示、解说内容）</w:t>
      </w:r>
    </w:p>
    <w:p>
      <w:pPr>
        <w:numPr>
          <w:ilvl w:val="0"/>
          <w:numId w:val="1"/>
        </w:numPr>
        <w:spacing w:line="360" w:lineRule="auto"/>
        <w:rPr>
          <w:color w:val="000000"/>
          <w:sz w:val="24"/>
        </w:rPr>
      </w:pPr>
      <w:r>
        <w:rPr>
          <w:rFonts w:hint="eastAsia"/>
          <w:color w:val="000000"/>
          <w:sz w:val="24"/>
        </w:rPr>
        <w:t>作品报告</w:t>
      </w:r>
      <w:r>
        <w:rPr>
          <w:color w:val="000000"/>
          <w:sz w:val="24"/>
        </w:rPr>
        <w:t>Word</w:t>
      </w:r>
      <w:r>
        <w:rPr>
          <w:rFonts w:hint="eastAsia"/>
          <w:color w:val="000000"/>
          <w:sz w:val="24"/>
        </w:rPr>
        <w:t>文档（表格见附件</w:t>
      </w:r>
      <w:r>
        <w:rPr>
          <w:color w:val="000000"/>
          <w:sz w:val="24"/>
        </w:rPr>
        <w:t>2</w:t>
      </w:r>
      <w:r>
        <w:rPr>
          <w:rFonts w:hint="eastAsia"/>
          <w:color w:val="000000"/>
          <w:sz w:val="24"/>
        </w:rPr>
        <w:t>，团体项目赛报告页数控制在</w:t>
      </w:r>
      <w:r>
        <w:rPr>
          <w:color w:val="000000"/>
          <w:sz w:val="24"/>
        </w:rPr>
        <w:t>10</w:t>
      </w:r>
      <w:r>
        <w:rPr>
          <w:rFonts w:hint="eastAsia"/>
          <w:color w:val="000000"/>
          <w:sz w:val="24"/>
        </w:rPr>
        <w:t>页以内）</w:t>
      </w:r>
    </w:p>
    <w:p>
      <w:pPr>
        <w:numPr>
          <w:ilvl w:val="0"/>
          <w:numId w:val="1"/>
        </w:numPr>
        <w:spacing w:line="360" w:lineRule="auto"/>
        <w:rPr>
          <w:color w:val="000000"/>
          <w:sz w:val="24"/>
        </w:rPr>
      </w:pPr>
      <w:r>
        <w:rPr>
          <w:rFonts w:hint="eastAsia"/>
          <w:color w:val="000000"/>
          <w:sz w:val="24"/>
        </w:rPr>
        <w:t>流程图、效果图（</w:t>
      </w:r>
      <w:r>
        <w:rPr>
          <w:color w:val="000000"/>
          <w:sz w:val="24"/>
        </w:rPr>
        <w:t>PPT</w:t>
      </w:r>
      <w:r>
        <w:rPr>
          <w:rFonts w:hint="eastAsia"/>
          <w:color w:val="000000"/>
          <w:sz w:val="24"/>
        </w:rPr>
        <w:t>内使用的相关图片如有高像素原图，请另外单独上传，以便</w:t>
      </w:r>
      <w:r>
        <w:rPr>
          <w:color w:val="000000"/>
          <w:sz w:val="24"/>
        </w:rPr>
        <w:t>后期制作</w:t>
      </w:r>
      <w:r>
        <w:rPr>
          <w:rFonts w:hint="eastAsia"/>
          <w:color w:val="000000"/>
          <w:sz w:val="24"/>
        </w:rPr>
        <w:t>优秀作品集时有较好的效果图片）</w:t>
      </w:r>
    </w:p>
    <w:p>
      <w:pPr>
        <w:spacing w:line="360" w:lineRule="auto"/>
        <w:ind w:firstLine="960" w:firstLineChars="400"/>
        <w:rPr>
          <w:color w:val="000000"/>
          <w:sz w:val="24"/>
        </w:rPr>
      </w:pPr>
      <w:r>
        <w:rPr>
          <w:rFonts w:hint="eastAsia"/>
          <w:color w:val="000000"/>
          <w:sz w:val="24"/>
        </w:rPr>
        <w:t>注：作者排名以报名表为依据，第一作者为项目组负责人；</w:t>
      </w:r>
    </w:p>
    <w:p>
      <w:pPr>
        <w:spacing w:line="360" w:lineRule="auto"/>
        <w:ind w:firstLine="480" w:firstLineChars="200"/>
        <w:rPr>
          <w:color w:val="000000"/>
          <w:sz w:val="24"/>
        </w:rPr>
      </w:pPr>
      <w:r>
        <w:rPr>
          <w:rFonts w:hint="eastAsia"/>
          <w:color w:val="000000"/>
          <w:sz w:val="24"/>
        </w:rPr>
        <w:t>四．评奖</w:t>
      </w:r>
    </w:p>
    <w:p>
      <w:pPr>
        <w:spacing w:line="360" w:lineRule="auto"/>
        <w:ind w:firstLine="960" w:firstLineChars="400"/>
        <w:rPr>
          <w:bCs/>
          <w:color w:val="000000"/>
          <w:sz w:val="24"/>
        </w:rPr>
      </w:pPr>
      <w:r>
        <w:rPr>
          <w:rFonts w:hint="eastAsia"/>
          <w:color w:val="000000"/>
          <w:sz w:val="24"/>
        </w:rPr>
        <w:t>由大奖赛组委会制订评分标准，专家</w:t>
      </w:r>
      <w:r>
        <w:rPr>
          <w:color w:val="000000"/>
          <w:sz w:val="24"/>
        </w:rPr>
        <w:t>现场评审。</w:t>
      </w:r>
    </w:p>
    <w:p>
      <w:pPr>
        <w:spacing w:line="360" w:lineRule="auto"/>
        <w:ind w:left="780" w:leftChars="200" w:hanging="360" w:hangingChars="150"/>
        <w:rPr>
          <w:color w:val="000000"/>
          <w:sz w:val="24"/>
        </w:rPr>
      </w:pPr>
      <w:r>
        <w:rPr>
          <w:rFonts w:hint="eastAsia"/>
          <w:color w:val="000000"/>
          <w:sz w:val="24"/>
        </w:rPr>
        <w:t>五．为保证评选的公证性，答辩PPT中不得含有参赛者的个人信息资料以及</w:t>
      </w:r>
    </w:p>
    <w:p>
      <w:pPr>
        <w:spacing w:line="360" w:lineRule="auto"/>
        <w:ind w:left="735" w:leftChars="350" w:firstLine="120" w:firstLineChars="50"/>
        <w:rPr>
          <w:color w:val="000000"/>
          <w:sz w:val="24"/>
        </w:rPr>
      </w:pPr>
      <w:r>
        <w:rPr>
          <w:rFonts w:hint="eastAsia"/>
          <w:color w:val="000000"/>
          <w:sz w:val="24"/>
        </w:rPr>
        <w:t>其他无关的标记符号。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4F30"/>
    <w:multiLevelType w:val="multilevel"/>
    <w:tmpl w:val="0C3A4F30"/>
    <w:lvl w:ilvl="0" w:tentative="0">
      <w:start w:val="1"/>
      <w:numFmt w:val="decimal"/>
      <w:lvlText w:val="%1）"/>
      <w:lvlJc w:val="left"/>
      <w:pPr>
        <w:tabs>
          <w:tab w:val="left" w:pos="2040"/>
        </w:tabs>
        <w:ind w:left="2040" w:hanging="360"/>
      </w:pPr>
      <w:rPr>
        <w:rFonts w:hint="eastAsia" w:cs="Times New Roman"/>
      </w:rPr>
    </w:lvl>
    <w:lvl w:ilvl="1" w:tentative="0">
      <w:start w:val="1"/>
      <w:numFmt w:val="japaneseCounting"/>
      <w:lvlText w:val="%2．"/>
      <w:lvlJc w:val="left"/>
      <w:pPr>
        <w:tabs>
          <w:tab w:val="left" w:pos="2580"/>
        </w:tabs>
        <w:ind w:left="2580" w:hanging="480"/>
      </w:pPr>
      <w:rPr>
        <w:rFonts w:hint="eastAsia" w:cs="Times New Roman"/>
      </w:rPr>
    </w:lvl>
    <w:lvl w:ilvl="2" w:tentative="0">
      <w:start w:val="1"/>
      <w:numFmt w:val="lowerRoman"/>
      <w:lvlText w:val="%3."/>
      <w:lvlJc w:val="right"/>
      <w:pPr>
        <w:tabs>
          <w:tab w:val="left" w:pos="2940"/>
        </w:tabs>
        <w:ind w:left="2940" w:hanging="420"/>
      </w:pPr>
      <w:rPr>
        <w:rFonts w:cs="Times New Roman"/>
      </w:rPr>
    </w:lvl>
    <w:lvl w:ilvl="3" w:tentative="0">
      <w:start w:val="1"/>
      <w:numFmt w:val="decimal"/>
      <w:lvlText w:val="%4."/>
      <w:lvlJc w:val="left"/>
      <w:pPr>
        <w:tabs>
          <w:tab w:val="left" w:pos="3360"/>
        </w:tabs>
        <w:ind w:left="3360" w:hanging="420"/>
      </w:pPr>
      <w:rPr>
        <w:rFonts w:cs="Times New Roman"/>
      </w:rPr>
    </w:lvl>
    <w:lvl w:ilvl="4" w:tentative="0">
      <w:start w:val="1"/>
      <w:numFmt w:val="lowerLetter"/>
      <w:lvlText w:val="%5)"/>
      <w:lvlJc w:val="left"/>
      <w:pPr>
        <w:tabs>
          <w:tab w:val="left" w:pos="3780"/>
        </w:tabs>
        <w:ind w:left="3780" w:hanging="420"/>
      </w:pPr>
      <w:rPr>
        <w:rFonts w:cs="Times New Roman"/>
      </w:rPr>
    </w:lvl>
    <w:lvl w:ilvl="5" w:tentative="0">
      <w:start w:val="1"/>
      <w:numFmt w:val="lowerRoman"/>
      <w:lvlText w:val="%6."/>
      <w:lvlJc w:val="right"/>
      <w:pPr>
        <w:tabs>
          <w:tab w:val="left" w:pos="4200"/>
        </w:tabs>
        <w:ind w:left="4200" w:hanging="420"/>
      </w:pPr>
      <w:rPr>
        <w:rFonts w:cs="Times New Roman"/>
      </w:rPr>
    </w:lvl>
    <w:lvl w:ilvl="6" w:tentative="0">
      <w:start w:val="1"/>
      <w:numFmt w:val="decimal"/>
      <w:lvlText w:val="%7."/>
      <w:lvlJc w:val="left"/>
      <w:pPr>
        <w:tabs>
          <w:tab w:val="left" w:pos="4620"/>
        </w:tabs>
        <w:ind w:left="4620" w:hanging="420"/>
      </w:pPr>
      <w:rPr>
        <w:rFonts w:cs="Times New Roman"/>
      </w:rPr>
    </w:lvl>
    <w:lvl w:ilvl="7" w:tentative="0">
      <w:start w:val="1"/>
      <w:numFmt w:val="lowerLetter"/>
      <w:lvlText w:val="%8)"/>
      <w:lvlJc w:val="left"/>
      <w:pPr>
        <w:tabs>
          <w:tab w:val="left" w:pos="5040"/>
        </w:tabs>
        <w:ind w:left="5040" w:hanging="420"/>
      </w:pPr>
      <w:rPr>
        <w:rFonts w:cs="Times New Roman"/>
      </w:rPr>
    </w:lvl>
    <w:lvl w:ilvl="8" w:tentative="0">
      <w:start w:val="1"/>
      <w:numFmt w:val="lowerRoman"/>
      <w:lvlText w:val="%9."/>
      <w:lvlJc w:val="right"/>
      <w:pPr>
        <w:tabs>
          <w:tab w:val="left" w:pos="5460"/>
        </w:tabs>
        <w:ind w:left="54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B7C36"/>
    <w:rsid w:val="26BB7C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2018-07-23T08:22:00Z</dcterms:created>
  <dc:creator>Bbatmyheart </dc:creator>
  <cp:lastModifiedBy>Bbatmyheart </cp:lastModifiedBy>
  <dcterms:modified xsi:type="dcterms:W3CDTF">2018-07-23T08:23:20Z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